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741BA" w14:textId="77777777" w:rsidR="002C3DB1" w:rsidRDefault="002C3DB1">
      <w:pPr>
        <w:pStyle w:val="Header"/>
        <w:rPr>
          <w:lang w:eastAsia="ko-KR"/>
        </w:rPr>
      </w:pPr>
    </w:p>
    <w:sdt>
      <w:sdtPr>
        <w:rPr>
          <w:lang w:eastAsia="ko-KR"/>
        </w:rPr>
        <w:id w:val="-2129384759"/>
        <w:docPartObj>
          <w:docPartGallery w:val="Cover Pages"/>
          <w:docPartUnique/>
        </w:docPartObj>
      </w:sdtPr>
      <w:sdtEndPr>
        <w:rPr>
          <w:lang w:eastAsia="ja-JP"/>
        </w:rPr>
      </w:sdtEndPr>
      <w:sdtContent>
        <w:p w14:paraId="1E8427F2" w14:textId="6C4D5E16" w:rsidR="001D6876" w:rsidRDefault="00E80B5D">
          <w:pPr>
            <w:pStyle w:val="Header"/>
            <w:rPr>
              <w:lang w:eastAsia="ko-KR"/>
            </w:rPr>
          </w:pPr>
          <w:r>
            <w:rPr>
              <w:noProof/>
              <w:lang w:val="en-ZA" w:eastAsia="en-ZA"/>
            </w:rPr>
            <mc:AlternateContent>
              <mc:Choice Requires="wps">
                <w:drawing>
                  <wp:anchor distT="0" distB="0" distL="114300" distR="114300" simplePos="0" relativeHeight="251658240" behindDoc="0" locked="0" layoutInCell="1" allowOverlap="1" wp14:anchorId="09F3692B" wp14:editId="0A146476">
                    <wp:simplePos x="0" y="0"/>
                    <wp:positionH relativeFrom="column">
                      <wp:posOffset>3419475</wp:posOffset>
                    </wp:positionH>
                    <wp:positionV relativeFrom="paragraph">
                      <wp:posOffset>-1827530</wp:posOffset>
                    </wp:positionV>
                    <wp:extent cx="2970530" cy="9886950"/>
                    <wp:effectExtent l="0" t="0" r="1270" b="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0530" cy="9886950"/>
                            </a:xfrm>
                            <a:prstGeom prst="rect">
                              <a:avLst/>
                            </a:prstGeom>
                            <a:solidFill>
                              <a:srgbClr val="367E55"/>
                            </a:solidFill>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24741B9" id="Rectangle 365" o:spid="_x0000_s1026" style="position:absolute;margin-left:269.25pt;margin-top:-143.9pt;width:233.9pt;height:77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" fillcolor="#367e55" stroked="f"/>
                </w:pict>
              </mc:Fallback>
            </mc:AlternateContent>
          </w:r>
          <w:r>
            <w:rPr>
              <w:noProof/>
              <w:lang w:val="en-ZA" w:eastAsia="en-ZA"/>
            </w:rPr>
            <mc:AlternateContent>
              <mc:Choice Requires="wps">
                <w:drawing>
                  <wp:anchor distT="73025" distB="73025" distL="114300" distR="114300" simplePos="0" relativeHeight="251658243" behindDoc="0" locked="0" layoutInCell="1" allowOverlap="1" wp14:anchorId="2502C8CC" wp14:editId="6DCC2CE0">
                    <wp:simplePos x="0" y="0"/>
                    <wp:positionH relativeFrom="margin">
                      <wp:posOffset>3762375</wp:posOffset>
                    </wp:positionH>
                    <wp:positionV relativeFrom="line">
                      <wp:posOffset>0</wp:posOffset>
                    </wp:positionV>
                    <wp:extent cx="2305050" cy="908050"/>
                    <wp:effectExtent l="0" t="0" r="19050" b="25400"/>
                    <wp:wrapThrough wrapText="bothSides">
                      <wp:wrapPolygon edited="0">
                        <wp:start x="0" y="0"/>
                        <wp:lineTo x="0" y="21751"/>
                        <wp:lineTo x="21600" y="21751"/>
                        <wp:lineTo x="21600" y="0"/>
                        <wp:lineTo x="0" y="0"/>
                      </wp:wrapPolygon>
                    </wp:wrapThrough>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908050"/>
                            </a:xfrm>
                            <a:prstGeom prst="bracketPair">
                              <a:avLst>
                                <a:gd name="adj" fmla="val 0"/>
                              </a:avLst>
                            </a:prstGeom>
                            <a:solidFill>
                              <a:srgbClr val="367E55"/>
                            </a:solidFill>
                            <a:ln w="12700">
                              <a:solidFill>
                                <a:srgbClr val="367E55"/>
                              </a:solidFill>
                              <a:round/>
                              <a:headEnd/>
                              <a:tailEnd/>
                            </a:ln>
                            <a:extLst>
                              <a:ext uri="{53640926-AAD7-44D8-BBD7-CCE9431645EC}">
                                <a14:shadowObscured xmlns:a14="http://schemas.microsoft.com/office/drawing/2010/main" val="1"/>
                              </a:ext>
                            </a:extLst>
                          </wps:spPr>
                          <wps:style>
                            <a:lnRef idx="0">
                              <a:scrgbClr r="0" g="0" b="0"/>
                            </a:lnRef>
                            <a:fillRef idx="1001">
                              <a:schemeClr val="lt1"/>
                            </a:fillRef>
                            <a:effectRef idx="0">
                              <a:scrgbClr r="0" g="0" b="0"/>
                            </a:effectRef>
                            <a:fontRef idx="major"/>
                          </wps:style>
                          <wps:txbx>
                            <w:txbxContent>
                              <w:p w14:paraId="41FB9C41" w14:textId="77777777" w:rsidR="003C1F73" w:rsidRPr="0092241A" w:rsidRDefault="003C1F73">
                                <w:pPr>
                                  <w:pStyle w:val="Quote"/>
                                  <w:rPr>
                                    <w:b/>
                                    <w:color w:val="FFFFFF" w:themeColor="background1"/>
                                    <w:sz w:val="56"/>
                                    <w:szCs w:val="56"/>
                                  </w:rPr>
                                </w:pPr>
                                <w:r w:rsidRPr="0092241A">
                                  <w:rPr>
                                    <w:b/>
                                    <w:color w:val="FFFFFF" w:themeColor="background1"/>
                                    <w:sz w:val="56"/>
                                    <w:szCs w:val="56"/>
                                  </w:rPr>
                                  <w:t>2020</w:t>
                                </w:r>
                              </w:p>
                            </w:txbxContent>
                          </wps:txbx>
                          <wps:bodyPr rot="0" vert="horz" wrap="square" lIns="182880" tIns="182880" rIns="18288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2C8C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1" o:spid="_x0000_s1026" type="#_x0000_t185" style="position:absolute;margin-left:296.25pt;margin-top:0;width:181.5pt;height:71.5pt;z-index:251658243;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" adj="0" filled="t" fillcolor="#367e55" strokecolor="#367e55" strokeweight="1pt">
                    <v:textbox inset="14.4pt,14.4pt,14.4pt,7.2pt">
                      <w:txbxContent>
                        <w:p w14:paraId="41FB9C41" w14:textId="77777777" w:rsidR="003C1F73" w:rsidRPr="0092241A" w:rsidRDefault="003C1F73">
                          <w:pPr>
                            <w:pStyle w:val="Quote"/>
                            <w:rPr>
                              <w:b/>
                              <w:color w:val="FFFFFF" w:themeColor="background1"/>
                              <w:sz w:val="56"/>
                              <w:szCs w:val="56"/>
                            </w:rPr>
                          </w:pPr>
                          <w:r w:rsidRPr="0092241A">
                            <w:rPr>
                              <w:b/>
                              <w:color w:val="FFFFFF" w:themeColor="background1"/>
                              <w:sz w:val="56"/>
                              <w:szCs w:val="56"/>
                            </w:rPr>
                            <w:t>2020</w:t>
                          </w:r>
                        </w:p>
                      </w:txbxContent>
                    </v:textbox>
                    <w10:wrap type="through" anchorx="margin" anchory="line"/>
                  </v:shape>
                </w:pict>
              </mc:Fallback>
            </mc:AlternateContent>
          </w:r>
        </w:p>
        <w:p w14:paraId="4EFD283C" w14:textId="77777777" w:rsidR="001D6876" w:rsidRDefault="001D6876">
          <w:pPr>
            <w:pStyle w:val="Header"/>
            <w:rPr>
              <w:lang w:eastAsia="ko-KR"/>
            </w:rPr>
          </w:pPr>
        </w:p>
        <w:p w14:paraId="60FD5DE9" w14:textId="2C163509" w:rsidR="00906B97" w:rsidRDefault="00E80B5D" w:rsidP="001D6876">
          <w:pPr>
            <w:pStyle w:val="Header"/>
          </w:pPr>
          <w:r>
            <w:rPr>
              <w:noProof/>
              <w:lang w:val="en-ZA" w:eastAsia="en-ZA"/>
            </w:rPr>
            <mc:AlternateContent>
              <mc:Choice Requires="wps">
                <w:drawing>
                  <wp:anchor distT="0" distB="0" distL="114300" distR="114300" simplePos="0" relativeHeight="251658244" behindDoc="0" locked="0" layoutInCell="1" allowOverlap="1" wp14:anchorId="3F0F55B4" wp14:editId="24A9C5D0">
                    <wp:simplePos x="0" y="0"/>
                    <wp:positionH relativeFrom="margin">
                      <wp:posOffset>3566077</wp:posOffset>
                    </wp:positionH>
                    <wp:positionV relativeFrom="paragraph">
                      <wp:posOffset>5909531</wp:posOffset>
                    </wp:positionV>
                    <wp:extent cx="2695575" cy="662277"/>
                    <wp:effectExtent l="0" t="0" r="9525" b="5080"/>
                    <wp:wrapNone/>
                    <wp:docPr id="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6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8C2CB" w14:textId="77777777" w:rsidR="003C1F73" w:rsidRPr="004446D2" w:rsidRDefault="003C1F73" w:rsidP="00E80B5D">
                                <w:pPr>
                                  <w:rPr>
                                    <w:b/>
                                    <w:i/>
                                    <w:color w:val="FFFFFF" w:themeColor="background1"/>
                                    <w:sz w:val="22"/>
                                    <w:szCs w:val="20"/>
                                    <w14:textOutline w14:w="9525" w14:cap="flat" w14:cmpd="sng" w14:algn="ctr">
                                      <w14:solidFill>
                                        <w14:schemeClr w14:val="bg1"/>
                                      </w14:solidFill>
                                      <w14:prstDash w14:val="solid"/>
                                      <w14:round/>
                                    </w14:textOutline>
                                  </w:rPr>
                                </w:pPr>
                                <w:r w:rsidRPr="004446D2">
                                  <w:rPr>
                                    <w:b/>
                                    <w:i/>
                                    <w:color w:val="FFFFFF" w:themeColor="background1"/>
                                    <w:sz w:val="22"/>
                                    <w:szCs w:val="20"/>
                                    <w14:textOutline w14:w="9525" w14:cap="flat" w14:cmpd="sng" w14:algn="ctr">
                                      <w14:solidFill>
                                        <w14:schemeClr w14:val="bg1"/>
                                      </w14:solidFill>
                                      <w14:prstDash w14:val="solid"/>
                                      <w14:round/>
                                    </w14:textOutline>
                                  </w:rPr>
                                  <w:t xml:space="preserve">South African GHG Emissions Reporting System (SAGERS) Frequently Asked Questions (FAQs)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0F55B4" id="_x0000_t202" coordsize="21600,21600" o:spt="202" path="m,l,21600r21600,l21600,xe">
                    <v:stroke joinstyle="miter"/>
                    <v:path gradientshapeok="t" o:connecttype="rect"/>
                  </v:shapetype>
                  <v:shape id="Text Box 25" o:spid="_x0000_s1027" type="#_x0000_t202" style="position:absolute;margin-left:280.8pt;margin-top:465.3pt;width:212.25pt;height:52.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m3sQIAALI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" filled="f" stroked="f">
                    <v:textbox inset="0,0,0,0">
                      <w:txbxContent>
                        <w:p w14:paraId="4228C2CB" w14:textId="77777777" w:rsidR="003C1F73" w:rsidRPr="004446D2" w:rsidRDefault="003C1F73" w:rsidP="00E80B5D">
                          <w:pPr>
                            <w:rPr>
                              <w:b/>
                              <w:i/>
                              <w:color w:val="FFFFFF" w:themeColor="background1"/>
                              <w:sz w:val="22"/>
                              <w:szCs w:val="20"/>
                              <w14:textOutline w14:w="9525" w14:cap="flat" w14:cmpd="sng" w14:algn="ctr">
                                <w14:solidFill>
                                  <w14:schemeClr w14:val="bg1"/>
                                </w14:solidFill>
                                <w14:prstDash w14:val="solid"/>
                                <w14:round/>
                              </w14:textOutline>
                            </w:rPr>
                          </w:pPr>
                          <w:r w:rsidRPr="004446D2">
                            <w:rPr>
                              <w:b/>
                              <w:i/>
                              <w:color w:val="FFFFFF" w:themeColor="background1"/>
                              <w:sz w:val="22"/>
                              <w:szCs w:val="20"/>
                              <w14:textOutline w14:w="9525" w14:cap="flat" w14:cmpd="sng" w14:algn="ctr">
                                <w14:solidFill>
                                  <w14:schemeClr w14:val="bg1"/>
                                </w14:solidFill>
                                <w14:prstDash w14:val="solid"/>
                                <w14:round/>
                              </w14:textOutline>
                            </w:rPr>
                            <w:t xml:space="preserve">South African GHG Emissions Reporting System (SAGERS) Frequently Asked Questions (FAQs) </w:t>
                          </w:r>
                        </w:p>
                      </w:txbxContent>
                    </v:textbox>
                    <w10:wrap anchorx="margin"/>
                  </v:shape>
                </w:pict>
              </mc:Fallback>
            </mc:AlternateContent>
          </w:r>
          <w:r w:rsidR="001D6876">
            <w:rPr>
              <w:noProof/>
              <w:lang w:val="en-ZA" w:eastAsia="en-ZA"/>
            </w:rPr>
            <mc:AlternateContent>
              <mc:Choice Requires="wps">
                <w:drawing>
                  <wp:anchor distT="73025" distB="73025" distL="114300" distR="114300" simplePos="0" relativeHeight="251658242" behindDoc="0" locked="0" layoutInCell="1" allowOverlap="1" wp14:anchorId="1F2BE9D1" wp14:editId="7F079D3E">
                    <wp:simplePos x="0" y="0"/>
                    <wp:positionH relativeFrom="margin">
                      <wp:posOffset>-1041400</wp:posOffset>
                    </wp:positionH>
                    <wp:positionV relativeFrom="line">
                      <wp:posOffset>1803400</wp:posOffset>
                    </wp:positionV>
                    <wp:extent cx="4121150" cy="1200150"/>
                    <wp:effectExtent l="0" t="0" r="12700" b="19050"/>
                    <wp:wrapSquare wrapText="bothSides"/>
                    <wp:docPr id="13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1200150"/>
                            </a:xfrm>
                            <a:prstGeom prst="bracketPair">
                              <a:avLst>
                                <a:gd name="adj" fmla="val 0"/>
                              </a:avLst>
                            </a:prstGeom>
                            <a:solidFill>
                              <a:srgbClr val="367E55"/>
                            </a:solidFill>
                            <a:ln w="12700">
                              <a:solidFill>
                                <a:schemeClr val="accent1"/>
                              </a:solidFill>
                              <a:round/>
                              <a:headEnd/>
                              <a:tailEnd/>
                            </a:ln>
                            <a:extLst>
                              <a:ext uri="{53640926-AAD7-44D8-BBD7-CCE9431645EC}">
                                <a14:shadowObscured xmlns:a14="http://schemas.microsoft.com/office/drawing/2010/main" val="1"/>
                              </a:ext>
                            </a:extLst>
                          </wps:spPr>
                          <wps:style>
                            <a:lnRef idx="0">
                              <a:scrgbClr r="0" g="0" b="0"/>
                            </a:lnRef>
                            <a:fillRef idx="1001">
                              <a:schemeClr val="lt1"/>
                            </a:fillRef>
                            <a:effectRef idx="0">
                              <a:scrgbClr r="0" g="0" b="0"/>
                            </a:effectRef>
                            <a:fontRef idx="major"/>
                          </wps:style>
                          <wps:txbx>
                            <w:txbxContent>
                              <w:p w14:paraId="2F369970" w14:textId="777EE138" w:rsidR="003C1F73" w:rsidRPr="001D6876" w:rsidRDefault="003C1F73">
                                <w:pPr>
                                  <w:pStyle w:val="Quote"/>
                                  <w:rPr>
                                    <w:b/>
                                    <w:color w:val="FFFFFF" w:themeColor="background1"/>
                                    <w:sz w:val="20"/>
                                  </w:rPr>
                                </w:pPr>
                                <w:r w:rsidRPr="001D6876">
                                  <w:rPr>
                                    <w:b/>
                                    <w:color w:val="FFFFFF" w:themeColor="background1"/>
                                  </w:rPr>
                                  <w:t>S</w:t>
                                </w:r>
                                <w:r>
                                  <w:rPr>
                                    <w:b/>
                                    <w:color w:val="FFFFFF" w:themeColor="background1"/>
                                  </w:rPr>
                                  <w:t xml:space="preserve">OUTH AFRICAN GREENHOUSE GAS EMISSIONS REPORTING SYSTEM (SAGERS) </w:t>
                                </w:r>
                                <w:r w:rsidRPr="001D6876">
                                  <w:rPr>
                                    <w:b/>
                                    <w:color w:val="FFFFFF" w:themeColor="background1"/>
                                  </w:rPr>
                                  <w:t>FREQUENTLY ASKED QUESTIONS</w:t>
                                </w:r>
                              </w:p>
                            </w:txbxContent>
                          </wps:txbx>
                          <wps:bodyPr rot="0" vert="horz" wrap="square" lIns="182880" tIns="182880" rIns="18288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2BE9D1" id="_x0000_s1028" type="#_x0000_t185" style="position:absolute;margin-left:-82pt;margin-top:142pt;width:324.5pt;height:94.5pt;z-index:251658242;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" adj="0" filled="t" fillcolor="#367e55" strokecolor="#a9a57c [3204]" strokeweight="1pt">
                    <v:textbox inset="14.4pt,14.4pt,14.4pt,7.2pt">
                      <w:txbxContent>
                        <w:p w14:paraId="2F369970" w14:textId="777EE138" w:rsidR="003C1F73" w:rsidRPr="001D6876" w:rsidRDefault="003C1F73">
                          <w:pPr>
                            <w:pStyle w:val="Quote"/>
                            <w:rPr>
                              <w:b/>
                              <w:color w:val="FFFFFF" w:themeColor="background1"/>
                              <w:sz w:val="20"/>
                            </w:rPr>
                          </w:pPr>
                          <w:r w:rsidRPr="001D6876">
                            <w:rPr>
                              <w:b/>
                              <w:color w:val="FFFFFF" w:themeColor="background1"/>
                            </w:rPr>
                            <w:t>S</w:t>
                          </w:r>
                          <w:r>
                            <w:rPr>
                              <w:b/>
                              <w:color w:val="FFFFFF" w:themeColor="background1"/>
                            </w:rPr>
                            <w:t xml:space="preserve">OUTH AFRICAN GREENHOUSE GAS EMISSIONS REPORTING SYSTEM (SAGERS) </w:t>
                          </w:r>
                          <w:r w:rsidRPr="001D6876">
                            <w:rPr>
                              <w:b/>
                              <w:color w:val="FFFFFF" w:themeColor="background1"/>
                            </w:rPr>
                            <w:t>FREQUENTLY ASKED QUESTIONS</w:t>
                          </w:r>
                        </w:p>
                      </w:txbxContent>
                    </v:textbox>
                    <w10:wrap type="square" anchorx="margin" anchory="line"/>
                  </v:shape>
                </w:pict>
              </mc:Fallback>
            </mc:AlternateContent>
          </w:r>
          <w:r w:rsidR="001D6876">
            <w:rPr>
              <w:noProof/>
              <w:lang w:val="en-ZA" w:eastAsia="en-ZA"/>
            </w:rPr>
            <mc:AlternateContent>
              <mc:Choice Requires="wps">
                <w:drawing>
                  <wp:anchor distT="0" distB="0" distL="114300" distR="114300" simplePos="0" relativeHeight="251658241" behindDoc="0" locked="0" layoutInCell="1" allowOverlap="1" wp14:anchorId="43254BBD" wp14:editId="08D76C1A">
                    <wp:simplePos x="0" y="0"/>
                    <wp:positionH relativeFrom="column">
                      <wp:posOffset>-1038225</wp:posOffset>
                    </wp:positionH>
                    <wp:positionV relativeFrom="paragraph">
                      <wp:posOffset>1798320</wp:posOffset>
                    </wp:positionV>
                    <wp:extent cx="7315200" cy="12001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7315200" cy="1200150"/>
                            </a:xfrm>
                            <a:prstGeom prst="rect">
                              <a:avLst/>
                            </a:prstGeom>
                            <a:solidFill>
                              <a:schemeClr val="lt1"/>
                            </a:solidFill>
                            <a:ln w="6350">
                              <a:solidFill>
                                <a:prstClr val="black"/>
                              </a:solidFill>
                            </a:ln>
                          </wps:spPr>
                          <wps:txbx>
                            <w:txbxContent>
                              <w:p w14:paraId="626DCB98" w14:textId="77777777" w:rsidR="003C1F73" w:rsidRDefault="003C1F73" w:rsidP="001D6876">
                                <w:pPr>
                                  <w:jc w:val="center"/>
                                </w:pPr>
                                <w:r>
                                  <w:tab/>
                                </w:r>
                                <w:r>
                                  <w:tab/>
                                </w:r>
                                <w:r>
                                  <w:tab/>
                                </w:r>
                                <w:r>
                                  <w:tab/>
                                </w:r>
                                <w:r>
                                  <w:tab/>
                                </w:r>
                                <w:r>
                                  <w:tab/>
                                </w:r>
                                <w:r>
                                  <w:tab/>
                                </w:r>
                                <w:r>
                                  <w:tab/>
                                </w:r>
                                <w:r>
                                  <w:tab/>
                                </w:r>
                                <w:r>
                                  <w:rPr>
                                    <w:noProof/>
                                    <w:lang w:val="en-ZA" w:eastAsia="en-ZA"/>
                                  </w:rPr>
                                  <w:drawing>
                                    <wp:inline distT="0" distB="0" distL="0" distR="0" wp14:anchorId="7158B7D7" wp14:editId="7391A9CA">
                                      <wp:extent cx="1270000" cy="1133475"/>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4654" cy="1155479"/>
                                              </a:xfrm>
                                              <a:prstGeom prst="rect">
                                                <a:avLst/>
                                              </a:prstGeom>
                                            </pic:spPr>
                                          </pic:pic>
                                        </a:graphicData>
                                      </a:graphic>
                                    </wp:inline>
                                  </w:drawing>
                                </w:r>
                                <w:r>
                                  <w:t xml:space="preserve">    </w:t>
                                </w:r>
                                <w:r>
                                  <w:rPr>
                                    <w:noProof/>
                                    <w:lang w:val="en-ZA" w:eastAsia="en-ZA"/>
                                  </w:rPr>
                                  <w:drawing>
                                    <wp:inline distT="0" distB="0" distL="0" distR="0" wp14:anchorId="362B9FCC" wp14:editId="429E20DD">
                                      <wp:extent cx="1459865" cy="1140460"/>
                                      <wp:effectExtent l="0" t="0" r="698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9865" cy="1140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4BBD" id="Text Box 38" o:spid="_x0000_s1029" type="#_x0000_t202" style="position:absolute;margin-left:-81.75pt;margin-top:141.6pt;width:8in;height: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" fillcolor="white [3201]" strokeweight=".5pt">
                    <v:textbox>
                      <w:txbxContent>
                        <w:p w14:paraId="626DCB98" w14:textId="77777777" w:rsidR="003C1F73" w:rsidRDefault="003C1F73" w:rsidP="001D6876">
                          <w:pPr>
                            <w:jc w:val="center"/>
                          </w:pPr>
                          <w:r>
                            <w:tab/>
                          </w:r>
                          <w:r>
                            <w:tab/>
                          </w:r>
                          <w:r>
                            <w:tab/>
                          </w:r>
                          <w:r>
                            <w:tab/>
                          </w:r>
                          <w:r>
                            <w:tab/>
                          </w:r>
                          <w:r>
                            <w:tab/>
                          </w:r>
                          <w:r>
                            <w:tab/>
                          </w:r>
                          <w:r>
                            <w:tab/>
                          </w:r>
                          <w:r>
                            <w:tab/>
                          </w:r>
                          <w:r>
                            <w:rPr>
                              <w:noProof/>
                              <w:lang w:val="en-ZA" w:eastAsia="en-ZA"/>
                            </w:rPr>
                            <w:drawing>
                              <wp:inline distT="0" distB="0" distL="0" distR="0" wp14:anchorId="7158B7D7" wp14:editId="7391A9CA">
                                <wp:extent cx="1270000" cy="1133475"/>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4654" cy="1155479"/>
                                        </a:xfrm>
                                        <a:prstGeom prst="rect">
                                          <a:avLst/>
                                        </a:prstGeom>
                                      </pic:spPr>
                                    </pic:pic>
                                  </a:graphicData>
                                </a:graphic>
                              </wp:inline>
                            </w:drawing>
                          </w:r>
                          <w:r>
                            <w:t xml:space="preserve">    </w:t>
                          </w:r>
                          <w:r>
                            <w:rPr>
                              <w:noProof/>
                              <w:lang w:val="en-ZA" w:eastAsia="en-ZA"/>
                            </w:rPr>
                            <w:drawing>
                              <wp:inline distT="0" distB="0" distL="0" distR="0" wp14:anchorId="362B9FCC" wp14:editId="429E20DD">
                                <wp:extent cx="1459865" cy="1140460"/>
                                <wp:effectExtent l="0" t="0" r="698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9865" cy="1140460"/>
                                        </a:xfrm>
                                        <a:prstGeom prst="rect">
                                          <a:avLst/>
                                        </a:prstGeom>
                                      </pic:spPr>
                                    </pic:pic>
                                  </a:graphicData>
                                </a:graphic>
                              </wp:inline>
                            </w:drawing>
                          </w:r>
                        </w:p>
                      </w:txbxContent>
                    </v:textbox>
                  </v:shape>
                </w:pict>
              </mc:Fallback>
            </mc:AlternateContent>
          </w:r>
          <w:r w:rsidR="004729C5">
            <w:br w:type="page"/>
          </w:r>
        </w:p>
      </w:sdtContent>
    </w:sdt>
    <w:tbl>
      <w:tblPr>
        <w:tblW w:w="9944" w:type="dxa"/>
        <w:jc w:val="center"/>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1E0" w:firstRow="1" w:lastRow="1" w:firstColumn="1" w:lastColumn="1" w:noHBand="0" w:noVBand="0"/>
      </w:tblPr>
      <w:tblGrid>
        <w:gridCol w:w="1177"/>
        <w:gridCol w:w="1795"/>
        <w:gridCol w:w="1843"/>
        <w:gridCol w:w="1843"/>
        <w:gridCol w:w="3286"/>
      </w:tblGrid>
      <w:tr w:rsidR="001D6876" w:rsidRPr="001D6876" w14:paraId="0DB02C05" w14:textId="77777777" w:rsidTr="003A683C">
        <w:trPr>
          <w:trHeight w:val="245"/>
          <w:jc w:val="center"/>
        </w:trPr>
        <w:tc>
          <w:tcPr>
            <w:tcW w:w="1177" w:type="dxa"/>
            <w:shd w:val="clear" w:color="auto" w:fill="006600"/>
          </w:tcPr>
          <w:p w14:paraId="7308A4DC" w14:textId="77777777" w:rsidR="001D6876" w:rsidRPr="001D6876" w:rsidRDefault="001D6876" w:rsidP="001D6876">
            <w:pPr>
              <w:spacing w:after="0" w:line="240" w:lineRule="auto"/>
              <w:jc w:val="center"/>
              <w:rPr>
                <w:rFonts w:ascii="Calibri" w:eastAsia="Times New Roman" w:hAnsi="Calibri" w:cs="Arial"/>
                <w:b/>
                <w:sz w:val="22"/>
                <w:lang w:val="en-GB" w:eastAsia="en-US"/>
              </w:rPr>
            </w:pPr>
            <w:r w:rsidRPr="001D6876">
              <w:rPr>
                <w:rFonts w:ascii="Calibri" w:eastAsia="Times New Roman" w:hAnsi="Calibri" w:cs="Arial"/>
                <w:b/>
                <w:sz w:val="22"/>
                <w:lang w:val="en-GB" w:eastAsia="en-US"/>
              </w:rPr>
              <w:lastRenderedPageBreak/>
              <w:t>Version</w:t>
            </w:r>
          </w:p>
        </w:tc>
        <w:tc>
          <w:tcPr>
            <w:tcW w:w="1795" w:type="dxa"/>
            <w:shd w:val="clear" w:color="auto" w:fill="006600"/>
          </w:tcPr>
          <w:p w14:paraId="2DA9775F" w14:textId="77777777" w:rsidR="001D6876" w:rsidRPr="001D6876" w:rsidRDefault="001D6876" w:rsidP="001D6876">
            <w:pPr>
              <w:spacing w:after="0" w:line="240" w:lineRule="auto"/>
              <w:jc w:val="center"/>
              <w:rPr>
                <w:rFonts w:ascii="Calibri" w:eastAsia="Times New Roman" w:hAnsi="Calibri" w:cs="Arial"/>
                <w:b/>
                <w:sz w:val="22"/>
                <w:lang w:val="en-GB" w:eastAsia="en-US"/>
              </w:rPr>
            </w:pPr>
            <w:r w:rsidRPr="001D6876">
              <w:rPr>
                <w:rFonts w:ascii="Calibri" w:eastAsia="Times New Roman" w:hAnsi="Calibri" w:cs="Arial"/>
                <w:b/>
                <w:sz w:val="22"/>
                <w:lang w:val="en-GB" w:eastAsia="en-US"/>
              </w:rPr>
              <w:t>Date</w:t>
            </w:r>
          </w:p>
        </w:tc>
        <w:tc>
          <w:tcPr>
            <w:tcW w:w="1843" w:type="dxa"/>
            <w:shd w:val="clear" w:color="auto" w:fill="006600"/>
          </w:tcPr>
          <w:p w14:paraId="59553D45" w14:textId="77777777" w:rsidR="001D6876" w:rsidRPr="001D6876" w:rsidRDefault="001D6876" w:rsidP="001D6876">
            <w:pPr>
              <w:spacing w:after="0" w:line="240" w:lineRule="auto"/>
              <w:jc w:val="center"/>
              <w:rPr>
                <w:rFonts w:ascii="Calibri" w:eastAsia="Times New Roman" w:hAnsi="Calibri" w:cs="Arial"/>
                <w:b/>
                <w:sz w:val="22"/>
                <w:lang w:val="en-GB" w:eastAsia="en-US"/>
              </w:rPr>
            </w:pPr>
            <w:r w:rsidRPr="001D6876">
              <w:rPr>
                <w:rFonts w:ascii="Calibri" w:eastAsia="Times New Roman" w:hAnsi="Calibri" w:cs="Arial"/>
                <w:b/>
                <w:sz w:val="22"/>
                <w:lang w:val="en-GB" w:eastAsia="en-US"/>
              </w:rPr>
              <w:t>Created By</w:t>
            </w:r>
          </w:p>
        </w:tc>
        <w:tc>
          <w:tcPr>
            <w:tcW w:w="1843" w:type="dxa"/>
            <w:shd w:val="clear" w:color="auto" w:fill="006600"/>
          </w:tcPr>
          <w:p w14:paraId="361C5E07" w14:textId="77777777" w:rsidR="001D6876" w:rsidRPr="001D6876" w:rsidRDefault="001D6876" w:rsidP="001D6876">
            <w:pPr>
              <w:spacing w:after="0" w:line="240" w:lineRule="auto"/>
              <w:jc w:val="center"/>
              <w:rPr>
                <w:rFonts w:ascii="Calibri" w:eastAsia="Times New Roman" w:hAnsi="Calibri" w:cs="Arial"/>
                <w:b/>
                <w:sz w:val="22"/>
                <w:lang w:val="en-GB" w:eastAsia="en-US"/>
              </w:rPr>
            </w:pPr>
            <w:r w:rsidRPr="001D6876">
              <w:rPr>
                <w:rFonts w:ascii="Calibri" w:eastAsia="Times New Roman" w:hAnsi="Calibri" w:cs="Arial"/>
                <w:b/>
                <w:sz w:val="22"/>
                <w:lang w:val="en-GB" w:eastAsia="en-US"/>
              </w:rPr>
              <w:t>Reviewed By</w:t>
            </w:r>
          </w:p>
        </w:tc>
        <w:tc>
          <w:tcPr>
            <w:tcW w:w="3286" w:type="dxa"/>
            <w:shd w:val="clear" w:color="auto" w:fill="006600"/>
          </w:tcPr>
          <w:p w14:paraId="795003D6" w14:textId="77777777" w:rsidR="001D6876" w:rsidRPr="001D6876" w:rsidRDefault="001D6876" w:rsidP="001D6876">
            <w:pPr>
              <w:spacing w:after="0" w:line="240" w:lineRule="auto"/>
              <w:jc w:val="center"/>
              <w:rPr>
                <w:rFonts w:ascii="Calibri" w:eastAsia="Times New Roman" w:hAnsi="Calibri" w:cs="Arial"/>
                <w:b/>
                <w:sz w:val="22"/>
                <w:lang w:val="en-GB" w:eastAsia="en-US"/>
              </w:rPr>
            </w:pPr>
            <w:r w:rsidRPr="001D6876">
              <w:rPr>
                <w:rFonts w:ascii="Calibri" w:eastAsia="Times New Roman" w:hAnsi="Calibri" w:cs="Arial"/>
                <w:b/>
                <w:sz w:val="22"/>
                <w:lang w:val="en-GB" w:eastAsia="en-US"/>
              </w:rPr>
              <w:t>Description</w:t>
            </w:r>
          </w:p>
        </w:tc>
      </w:tr>
      <w:tr w:rsidR="001D6876" w:rsidRPr="001D6876" w14:paraId="77586E35" w14:textId="77777777" w:rsidTr="003A683C">
        <w:trPr>
          <w:trHeight w:val="245"/>
          <w:jc w:val="center"/>
        </w:trPr>
        <w:tc>
          <w:tcPr>
            <w:tcW w:w="1177" w:type="dxa"/>
            <w:vAlign w:val="center"/>
          </w:tcPr>
          <w:p w14:paraId="3A957849" w14:textId="77777777" w:rsidR="001D6876" w:rsidRPr="001D6876" w:rsidRDefault="001D6876" w:rsidP="00193A5D">
            <w:pPr>
              <w:spacing w:after="0" w:line="240" w:lineRule="auto"/>
              <w:rPr>
                <w:rFonts w:ascii="Calibri" w:eastAsia="Times New Roman" w:hAnsi="Calibri" w:cs="Arial"/>
                <w:sz w:val="22"/>
                <w:lang w:val="en-GB" w:eastAsia="en-US"/>
              </w:rPr>
            </w:pPr>
            <w:r w:rsidRPr="001D6876">
              <w:rPr>
                <w:rFonts w:ascii="Calibri" w:eastAsia="Times New Roman" w:hAnsi="Calibri" w:cs="Arial"/>
                <w:sz w:val="22"/>
                <w:lang w:val="en-GB" w:eastAsia="en-US"/>
              </w:rPr>
              <w:t>1.0</w:t>
            </w:r>
          </w:p>
        </w:tc>
        <w:tc>
          <w:tcPr>
            <w:tcW w:w="1795" w:type="dxa"/>
            <w:vAlign w:val="center"/>
          </w:tcPr>
          <w:p w14:paraId="13345267" w14:textId="77777777" w:rsidR="001D6876" w:rsidRPr="001D6876" w:rsidRDefault="001D6876"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Feb 2020</w:t>
            </w:r>
          </w:p>
        </w:tc>
        <w:tc>
          <w:tcPr>
            <w:tcW w:w="1843" w:type="dxa"/>
            <w:vAlign w:val="center"/>
          </w:tcPr>
          <w:p w14:paraId="5949F0A4" w14:textId="77777777" w:rsidR="001D6876" w:rsidRPr="001D6876" w:rsidRDefault="001D6876"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M. Senatla Jaane</w:t>
            </w:r>
          </w:p>
        </w:tc>
        <w:tc>
          <w:tcPr>
            <w:tcW w:w="1843" w:type="dxa"/>
            <w:vAlign w:val="center"/>
          </w:tcPr>
          <w:p w14:paraId="04A19867" w14:textId="77777777" w:rsidR="001D6876" w:rsidRPr="001D6876" w:rsidRDefault="002204B5"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 xml:space="preserve">S. Mashele </w:t>
            </w:r>
          </w:p>
        </w:tc>
        <w:tc>
          <w:tcPr>
            <w:tcW w:w="3286" w:type="dxa"/>
            <w:vAlign w:val="center"/>
          </w:tcPr>
          <w:p w14:paraId="46604C35" w14:textId="77777777" w:rsidR="001D6876" w:rsidRPr="001D6876" w:rsidRDefault="001D6876" w:rsidP="00193A5D">
            <w:pPr>
              <w:spacing w:after="0" w:line="240" w:lineRule="auto"/>
              <w:rPr>
                <w:rFonts w:ascii="Calibri" w:eastAsia="Times New Roman" w:hAnsi="Calibri" w:cs="Arial"/>
                <w:sz w:val="22"/>
                <w:lang w:val="en-GB" w:eastAsia="en-US"/>
              </w:rPr>
            </w:pPr>
            <w:r w:rsidRPr="001D6876">
              <w:rPr>
                <w:rFonts w:ascii="Calibri" w:eastAsia="Times New Roman" w:hAnsi="Calibri" w:cs="Arial"/>
                <w:sz w:val="22"/>
                <w:lang w:val="en-GB" w:eastAsia="en-US"/>
              </w:rPr>
              <w:t>Initial Version</w:t>
            </w:r>
          </w:p>
        </w:tc>
      </w:tr>
      <w:tr w:rsidR="001D6876" w:rsidRPr="001D6876" w14:paraId="0A04BFA3" w14:textId="77777777" w:rsidTr="003A683C">
        <w:trPr>
          <w:trHeight w:val="481"/>
          <w:jc w:val="center"/>
        </w:trPr>
        <w:tc>
          <w:tcPr>
            <w:tcW w:w="1177" w:type="dxa"/>
            <w:vAlign w:val="center"/>
          </w:tcPr>
          <w:p w14:paraId="1688E91C" w14:textId="77777777" w:rsidR="001D6876" w:rsidRPr="001D6876" w:rsidRDefault="001D6876" w:rsidP="00193A5D">
            <w:pPr>
              <w:spacing w:after="0" w:line="240" w:lineRule="auto"/>
              <w:rPr>
                <w:rFonts w:ascii="Calibri" w:eastAsia="Times New Roman" w:hAnsi="Calibri" w:cs="Arial"/>
                <w:sz w:val="22"/>
                <w:lang w:val="en-GB" w:eastAsia="en-US"/>
              </w:rPr>
            </w:pPr>
            <w:r w:rsidRPr="001D6876">
              <w:rPr>
                <w:rFonts w:ascii="Calibri" w:eastAsia="Times New Roman" w:hAnsi="Calibri" w:cs="Arial"/>
                <w:sz w:val="22"/>
                <w:lang w:val="en-GB" w:eastAsia="en-US"/>
              </w:rPr>
              <w:t>2.0</w:t>
            </w:r>
          </w:p>
        </w:tc>
        <w:tc>
          <w:tcPr>
            <w:tcW w:w="1795" w:type="dxa"/>
            <w:vAlign w:val="center"/>
          </w:tcPr>
          <w:p w14:paraId="1D638268" w14:textId="77777777" w:rsidR="001D6876" w:rsidRPr="001D6876" w:rsidRDefault="005A1363"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April 2020</w:t>
            </w:r>
          </w:p>
        </w:tc>
        <w:tc>
          <w:tcPr>
            <w:tcW w:w="1843" w:type="dxa"/>
            <w:vAlign w:val="center"/>
          </w:tcPr>
          <w:p w14:paraId="0D8EA235" w14:textId="77777777" w:rsidR="001D6876" w:rsidRPr="001D6876" w:rsidRDefault="005A1363"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S. Mashele</w:t>
            </w:r>
          </w:p>
        </w:tc>
        <w:tc>
          <w:tcPr>
            <w:tcW w:w="1843" w:type="dxa"/>
            <w:vAlign w:val="center"/>
          </w:tcPr>
          <w:p w14:paraId="33F1773D" w14:textId="77777777" w:rsidR="001D6876" w:rsidRPr="001D6876" w:rsidRDefault="001D6876" w:rsidP="00193A5D">
            <w:pPr>
              <w:spacing w:after="0" w:line="240" w:lineRule="auto"/>
              <w:rPr>
                <w:rFonts w:ascii="Calibri" w:eastAsia="Times New Roman" w:hAnsi="Calibri" w:cs="Arial"/>
                <w:sz w:val="22"/>
                <w:lang w:val="en-GB" w:eastAsia="en-US"/>
              </w:rPr>
            </w:pPr>
          </w:p>
        </w:tc>
        <w:tc>
          <w:tcPr>
            <w:tcW w:w="3286" w:type="dxa"/>
            <w:vAlign w:val="center"/>
          </w:tcPr>
          <w:p w14:paraId="51782A8A" w14:textId="77777777" w:rsidR="001D6876" w:rsidRPr="001D6876" w:rsidRDefault="001D6876" w:rsidP="00193A5D">
            <w:pPr>
              <w:spacing w:after="0" w:line="240" w:lineRule="auto"/>
              <w:rPr>
                <w:rFonts w:ascii="Calibri" w:eastAsia="Times New Roman" w:hAnsi="Calibri" w:cs="Arial"/>
                <w:sz w:val="22"/>
                <w:lang w:val="en-GB" w:eastAsia="en-US"/>
              </w:rPr>
            </w:pPr>
          </w:p>
        </w:tc>
      </w:tr>
      <w:tr w:rsidR="001D6876" w:rsidRPr="001D6876" w14:paraId="0EDECC74" w14:textId="77777777" w:rsidTr="003A683C">
        <w:trPr>
          <w:trHeight w:val="736"/>
          <w:jc w:val="center"/>
        </w:trPr>
        <w:tc>
          <w:tcPr>
            <w:tcW w:w="1177" w:type="dxa"/>
            <w:vAlign w:val="center"/>
          </w:tcPr>
          <w:p w14:paraId="733878F9" w14:textId="77777777" w:rsidR="001D6876" w:rsidRPr="001D6876" w:rsidRDefault="001D6876" w:rsidP="00193A5D">
            <w:pPr>
              <w:spacing w:after="0" w:line="240" w:lineRule="auto"/>
              <w:rPr>
                <w:rFonts w:ascii="Calibri" w:eastAsia="Times New Roman" w:hAnsi="Calibri" w:cs="Arial"/>
                <w:sz w:val="22"/>
                <w:lang w:val="en-GB" w:eastAsia="en-US"/>
              </w:rPr>
            </w:pPr>
            <w:r w:rsidRPr="001D6876">
              <w:rPr>
                <w:rFonts w:ascii="Calibri" w:eastAsia="Times New Roman" w:hAnsi="Calibri" w:cs="Arial"/>
                <w:sz w:val="22"/>
                <w:lang w:val="en-GB" w:eastAsia="en-US"/>
              </w:rPr>
              <w:t>3.0</w:t>
            </w:r>
          </w:p>
        </w:tc>
        <w:tc>
          <w:tcPr>
            <w:tcW w:w="1795" w:type="dxa"/>
            <w:vAlign w:val="center"/>
          </w:tcPr>
          <w:p w14:paraId="5885E177" w14:textId="38037641" w:rsidR="001D6876" w:rsidRPr="001D6876" w:rsidRDefault="003A683C"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November</w:t>
            </w:r>
            <w:r w:rsidR="003112C7">
              <w:rPr>
                <w:rFonts w:ascii="Calibri" w:eastAsia="Times New Roman" w:hAnsi="Calibri" w:cs="Arial"/>
                <w:sz w:val="22"/>
                <w:lang w:val="en-GB" w:eastAsia="en-US"/>
              </w:rPr>
              <w:t xml:space="preserve"> 2020</w:t>
            </w:r>
          </w:p>
        </w:tc>
        <w:tc>
          <w:tcPr>
            <w:tcW w:w="1843" w:type="dxa"/>
            <w:vAlign w:val="center"/>
          </w:tcPr>
          <w:p w14:paraId="2327798F" w14:textId="466B2423" w:rsidR="001D6876" w:rsidRPr="001D6876" w:rsidRDefault="003112C7"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F.B. Moodley</w:t>
            </w:r>
          </w:p>
        </w:tc>
        <w:tc>
          <w:tcPr>
            <w:tcW w:w="1843" w:type="dxa"/>
            <w:vAlign w:val="center"/>
          </w:tcPr>
          <w:p w14:paraId="3C6F28EF" w14:textId="3E0D30B2" w:rsidR="001D6876" w:rsidRPr="001D6876" w:rsidRDefault="00D3287A"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S. Mashele</w:t>
            </w:r>
          </w:p>
        </w:tc>
        <w:tc>
          <w:tcPr>
            <w:tcW w:w="3286" w:type="dxa"/>
            <w:vAlign w:val="center"/>
          </w:tcPr>
          <w:p w14:paraId="0F822554" w14:textId="06E71CDC" w:rsidR="001D6876" w:rsidRPr="001D6876" w:rsidRDefault="001D6876" w:rsidP="00193A5D">
            <w:pPr>
              <w:spacing w:after="0" w:line="240" w:lineRule="auto"/>
              <w:rPr>
                <w:rFonts w:ascii="Calibri" w:eastAsia="Times New Roman" w:hAnsi="Calibri" w:cs="Arial"/>
                <w:sz w:val="22"/>
                <w:lang w:val="en-GB" w:eastAsia="en-US"/>
              </w:rPr>
            </w:pPr>
          </w:p>
        </w:tc>
      </w:tr>
      <w:tr w:rsidR="0067691D" w:rsidRPr="001D6876" w14:paraId="57C55EE1" w14:textId="77777777" w:rsidTr="003A683C">
        <w:trPr>
          <w:trHeight w:val="736"/>
          <w:jc w:val="center"/>
        </w:trPr>
        <w:tc>
          <w:tcPr>
            <w:tcW w:w="1177" w:type="dxa"/>
            <w:vAlign w:val="center"/>
          </w:tcPr>
          <w:p w14:paraId="79481CA2" w14:textId="280203A4" w:rsidR="0067691D" w:rsidRPr="001D6876" w:rsidRDefault="0067691D"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4.0</w:t>
            </w:r>
          </w:p>
        </w:tc>
        <w:tc>
          <w:tcPr>
            <w:tcW w:w="1795" w:type="dxa"/>
            <w:vAlign w:val="center"/>
          </w:tcPr>
          <w:p w14:paraId="5E7F7048" w14:textId="0D8191C1" w:rsidR="0067691D" w:rsidRDefault="0067691D"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February 2022</w:t>
            </w:r>
          </w:p>
        </w:tc>
        <w:tc>
          <w:tcPr>
            <w:tcW w:w="1843" w:type="dxa"/>
            <w:vAlign w:val="center"/>
          </w:tcPr>
          <w:p w14:paraId="5A0356B1" w14:textId="7E9FC149" w:rsidR="0067691D" w:rsidRDefault="0067691D" w:rsidP="00193A5D">
            <w:pPr>
              <w:spacing w:after="0" w:line="240" w:lineRule="auto"/>
              <w:rPr>
                <w:rFonts w:ascii="Calibri" w:eastAsia="Times New Roman" w:hAnsi="Calibri" w:cs="Arial"/>
                <w:sz w:val="22"/>
                <w:lang w:val="en-GB" w:eastAsia="en-US"/>
              </w:rPr>
            </w:pPr>
            <w:r>
              <w:rPr>
                <w:rFonts w:ascii="Calibri" w:eastAsia="Times New Roman" w:hAnsi="Calibri" w:cs="Arial"/>
                <w:sz w:val="22"/>
                <w:lang w:val="en-GB" w:eastAsia="en-US"/>
              </w:rPr>
              <w:t>S. Malaka</w:t>
            </w:r>
          </w:p>
        </w:tc>
        <w:tc>
          <w:tcPr>
            <w:tcW w:w="1843" w:type="dxa"/>
            <w:vAlign w:val="center"/>
          </w:tcPr>
          <w:p w14:paraId="4D21AAA7" w14:textId="4965C84E" w:rsidR="0067691D" w:rsidRDefault="008A7282" w:rsidP="00193A5D">
            <w:pPr>
              <w:spacing w:after="0" w:line="240" w:lineRule="auto"/>
              <w:rPr>
                <w:rFonts w:ascii="Calibri" w:eastAsia="Times New Roman" w:hAnsi="Calibri" w:cs="Arial"/>
                <w:sz w:val="22"/>
                <w:lang w:val="en-GB" w:eastAsia="en-US"/>
              </w:rPr>
            </w:pPr>
            <w:r w:rsidRPr="008A7282">
              <w:rPr>
                <w:rFonts w:ascii="Calibri" w:eastAsia="Times New Roman" w:hAnsi="Calibri" w:cs="Arial"/>
                <w:sz w:val="22"/>
                <w:lang w:val="en-GB" w:eastAsia="en-US"/>
              </w:rPr>
              <w:t>S. Mashele</w:t>
            </w:r>
          </w:p>
        </w:tc>
        <w:tc>
          <w:tcPr>
            <w:tcW w:w="3286" w:type="dxa"/>
            <w:vAlign w:val="center"/>
          </w:tcPr>
          <w:p w14:paraId="1F9CA728" w14:textId="379E6047" w:rsidR="0067691D" w:rsidRDefault="0067691D" w:rsidP="00193A5D">
            <w:pPr>
              <w:spacing w:after="0" w:line="240" w:lineRule="auto"/>
              <w:rPr>
                <w:rFonts w:ascii="Calibri" w:eastAsia="Times New Roman" w:hAnsi="Calibri" w:cs="Arial"/>
                <w:sz w:val="22"/>
                <w:lang w:val="en-GB" w:eastAsia="en-US"/>
              </w:rPr>
            </w:pPr>
          </w:p>
        </w:tc>
      </w:tr>
    </w:tbl>
    <w:p w14:paraId="145635D1" w14:textId="77777777" w:rsidR="00906B97" w:rsidRDefault="00906B97" w:rsidP="001D6876"/>
    <w:p w14:paraId="4A5B44D4" w14:textId="77777777" w:rsidR="00906B97" w:rsidRDefault="00906B97">
      <w:pPr>
        <w:pStyle w:val="Subtitle"/>
      </w:pPr>
    </w:p>
    <w:p w14:paraId="2A6C51CF" w14:textId="77777777" w:rsidR="00906B97" w:rsidRDefault="00906B97"/>
    <w:p w14:paraId="188B2F0B" w14:textId="77777777" w:rsidR="002B050E" w:rsidRDefault="002B050E"/>
    <w:p w14:paraId="2E987F5B" w14:textId="77777777" w:rsidR="002B050E" w:rsidRPr="002B050E" w:rsidRDefault="002B050E" w:rsidP="002B050E"/>
    <w:p w14:paraId="2B5A8F0A" w14:textId="77777777" w:rsidR="002B050E" w:rsidRDefault="002B050E" w:rsidP="002B050E"/>
    <w:p w14:paraId="4C2E4953" w14:textId="77777777" w:rsidR="0092241A" w:rsidRDefault="0092241A" w:rsidP="002B050E"/>
    <w:p w14:paraId="26BFD510" w14:textId="77777777" w:rsidR="0092241A" w:rsidRDefault="0092241A" w:rsidP="002B050E"/>
    <w:p w14:paraId="285D8D79" w14:textId="77777777" w:rsidR="0092241A" w:rsidRDefault="0092241A" w:rsidP="002B050E"/>
    <w:p w14:paraId="28091973" w14:textId="77777777" w:rsidR="0092241A" w:rsidRDefault="0092241A" w:rsidP="002B050E"/>
    <w:p w14:paraId="002216FD" w14:textId="77777777" w:rsidR="0092241A" w:rsidRDefault="0092241A" w:rsidP="002B050E"/>
    <w:p w14:paraId="36D8A2F4" w14:textId="77777777" w:rsidR="0092241A" w:rsidRDefault="0092241A" w:rsidP="002B050E"/>
    <w:p w14:paraId="2FF04994" w14:textId="77777777" w:rsidR="0092241A" w:rsidRDefault="0092241A" w:rsidP="002B050E"/>
    <w:p w14:paraId="304379F3" w14:textId="77777777" w:rsidR="0092241A" w:rsidRDefault="0092241A" w:rsidP="002B050E"/>
    <w:p w14:paraId="27AA282F" w14:textId="77777777" w:rsidR="0092241A" w:rsidRDefault="0092241A" w:rsidP="002B050E"/>
    <w:p w14:paraId="45D462CC" w14:textId="77777777" w:rsidR="0092241A" w:rsidRDefault="0092241A" w:rsidP="002B050E"/>
    <w:p w14:paraId="7FDF1023" w14:textId="77777777" w:rsidR="0092241A" w:rsidRDefault="0092241A" w:rsidP="002B050E"/>
    <w:p w14:paraId="2B7AFB5D" w14:textId="77777777" w:rsidR="00380916" w:rsidRDefault="0092241A" w:rsidP="002B050E">
      <w:r>
        <w:br w:type="page"/>
      </w:r>
    </w:p>
    <w:sdt>
      <w:sdtPr>
        <w:rPr>
          <w:rFonts w:eastAsiaTheme="minorHAnsi" w:cstheme="minorBidi"/>
          <w:noProof w:val="0"/>
          <w:szCs w:val="22"/>
          <w:lang w:eastAsia="ko-KR"/>
        </w:rPr>
        <w:id w:val="202062918"/>
        <w:docPartObj>
          <w:docPartGallery w:val="Table of Contents"/>
          <w:docPartUnique/>
        </w:docPartObj>
      </w:sdtPr>
      <w:sdtEndPr>
        <w:rPr>
          <w:b/>
          <w:bCs/>
        </w:rPr>
      </w:sdtEndPr>
      <w:sdtContent>
        <w:p w14:paraId="4212B6FD" w14:textId="5138AB04" w:rsidR="000E5094" w:rsidRDefault="000E5094">
          <w:pPr>
            <w:pStyle w:val="TOCHeading"/>
          </w:pPr>
          <w:r>
            <w:t>Contents</w:t>
          </w:r>
        </w:p>
        <w:p w14:paraId="4B6001C6" w14:textId="0A17E58C" w:rsidR="00F16E62" w:rsidRDefault="000E5094">
          <w:pPr>
            <w:pStyle w:val="TOC1"/>
            <w:rPr>
              <w:rFonts w:asciiTheme="minorHAnsi" w:eastAsiaTheme="minorEastAsia" w:hAnsiTheme="minorHAnsi"/>
              <w:b w:val="0"/>
              <w:lang w:val="en-ZA" w:eastAsia="en-ZA"/>
            </w:rPr>
          </w:pPr>
          <w:r>
            <w:fldChar w:fldCharType="begin"/>
          </w:r>
          <w:r>
            <w:instrText xml:space="preserve"> TOC \o "1-3" \h \z \u </w:instrText>
          </w:r>
          <w:r>
            <w:fldChar w:fldCharType="separate"/>
          </w:r>
          <w:hyperlink w:anchor="_Toc109812374" w:history="1">
            <w:r w:rsidR="00F16E62" w:rsidRPr="00932F8D">
              <w:rPr>
                <w:rStyle w:val="Hyperlink"/>
              </w:rPr>
              <w:t>1.</w:t>
            </w:r>
            <w:r w:rsidR="00F16E62">
              <w:rPr>
                <w:rFonts w:asciiTheme="minorHAnsi" w:eastAsiaTheme="minorEastAsia" w:hAnsiTheme="minorHAnsi"/>
                <w:b w:val="0"/>
                <w:lang w:val="en-ZA" w:eastAsia="en-ZA"/>
              </w:rPr>
              <w:tab/>
            </w:r>
            <w:r w:rsidR="00F16E62" w:rsidRPr="00932F8D">
              <w:rPr>
                <w:rStyle w:val="Hyperlink"/>
              </w:rPr>
              <w:t>General Questions</w:t>
            </w:r>
            <w:r w:rsidR="00F16E62">
              <w:rPr>
                <w:webHidden/>
              </w:rPr>
              <w:tab/>
            </w:r>
            <w:r w:rsidR="00F16E62">
              <w:rPr>
                <w:webHidden/>
              </w:rPr>
              <w:fldChar w:fldCharType="begin"/>
            </w:r>
            <w:r w:rsidR="00F16E62">
              <w:rPr>
                <w:webHidden/>
              </w:rPr>
              <w:instrText xml:space="preserve"> PAGEREF _Toc109812374 \h </w:instrText>
            </w:r>
            <w:r w:rsidR="00F16E62">
              <w:rPr>
                <w:webHidden/>
              </w:rPr>
            </w:r>
            <w:r w:rsidR="00F16E62">
              <w:rPr>
                <w:webHidden/>
              </w:rPr>
              <w:fldChar w:fldCharType="separate"/>
            </w:r>
            <w:r w:rsidR="00F16E62">
              <w:rPr>
                <w:webHidden/>
              </w:rPr>
              <w:t>9</w:t>
            </w:r>
            <w:r w:rsidR="00F16E62">
              <w:rPr>
                <w:webHidden/>
              </w:rPr>
              <w:fldChar w:fldCharType="end"/>
            </w:r>
          </w:hyperlink>
        </w:p>
        <w:p w14:paraId="3D30ED09" w14:textId="44316B45" w:rsidR="00F16E62" w:rsidRDefault="00161F7F">
          <w:pPr>
            <w:pStyle w:val="TOC2"/>
            <w:rPr>
              <w:rFonts w:asciiTheme="minorHAnsi" w:hAnsiTheme="minorHAnsi" w:cstheme="minorBidi"/>
              <w:noProof/>
              <w:lang w:val="en-ZA" w:eastAsia="en-ZA"/>
            </w:rPr>
          </w:pPr>
          <w:hyperlink w:anchor="_Toc109812375" w:history="1">
            <w:r w:rsidR="00F16E62" w:rsidRPr="00932F8D">
              <w:rPr>
                <w:rStyle w:val="Hyperlink"/>
                <w:noProof/>
              </w:rPr>
              <w:t>1.1.</w:t>
            </w:r>
            <w:r w:rsidR="00F16E62">
              <w:rPr>
                <w:rFonts w:asciiTheme="minorHAnsi" w:hAnsiTheme="minorHAnsi" w:cstheme="minorBidi"/>
                <w:noProof/>
                <w:lang w:val="en-ZA" w:eastAsia="en-ZA"/>
              </w:rPr>
              <w:tab/>
            </w:r>
            <w:r w:rsidR="00F16E62" w:rsidRPr="00932F8D">
              <w:rPr>
                <w:rStyle w:val="Hyperlink"/>
                <w:noProof/>
              </w:rPr>
              <w:t>What is SAGERS?</w:t>
            </w:r>
            <w:r w:rsidR="00F16E62">
              <w:rPr>
                <w:noProof/>
                <w:webHidden/>
              </w:rPr>
              <w:tab/>
            </w:r>
            <w:r w:rsidR="00F16E62">
              <w:rPr>
                <w:noProof/>
                <w:webHidden/>
              </w:rPr>
              <w:fldChar w:fldCharType="begin"/>
            </w:r>
            <w:r w:rsidR="00F16E62">
              <w:rPr>
                <w:noProof/>
                <w:webHidden/>
              </w:rPr>
              <w:instrText xml:space="preserve"> PAGEREF _Toc109812375 \h </w:instrText>
            </w:r>
            <w:r w:rsidR="00F16E62">
              <w:rPr>
                <w:noProof/>
                <w:webHidden/>
              </w:rPr>
            </w:r>
            <w:r w:rsidR="00F16E62">
              <w:rPr>
                <w:noProof/>
                <w:webHidden/>
              </w:rPr>
              <w:fldChar w:fldCharType="separate"/>
            </w:r>
            <w:r w:rsidR="00F16E62">
              <w:rPr>
                <w:noProof/>
                <w:webHidden/>
              </w:rPr>
              <w:t>9</w:t>
            </w:r>
            <w:r w:rsidR="00F16E62">
              <w:rPr>
                <w:noProof/>
                <w:webHidden/>
              </w:rPr>
              <w:fldChar w:fldCharType="end"/>
            </w:r>
          </w:hyperlink>
        </w:p>
        <w:p w14:paraId="19023F86" w14:textId="478B6E03" w:rsidR="00F16E62" w:rsidRDefault="00161F7F">
          <w:pPr>
            <w:pStyle w:val="TOC2"/>
            <w:rPr>
              <w:rFonts w:asciiTheme="minorHAnsi" w:hAnsiTheme="minorHAnsi" w:cstheme="minorBidi"/>
              <w:noProof/>
              <w:lang w:val="en-ZA" w:eastAsia="en-ZA"/>
            </w:rPr>
          </w:pPr>
          <w:hyperlink w:anchor="_Toc109812376" w:history="1">
            <w:r w:rsidR="00F16E62" w:rsidRPr="00932F8D">
              <w:rPr>
                <w:rStyle w:val="Hyperlink"/>
                <w:noProof/>
              </w:rPr>
              <w:t>1.2.</w:t>
            </w:r>
            <w:r w:rsidR="00F16E62">
              <w:rPr>
                <w:rFonts w:asciiTheme="minorHAnsi" w:hAnsiTheme="minorHAnsi" w:cstheme="minorBidi"/>
                <w:noProof/>
                <w:lang w:val="en-ZA" w:eastAsia="en-ZA"/>
              </w:rPr>
              <w:tab/>
            </w:r>
            <w:r w:rsidR="00F16E62" w:rsidRPr="00932F8D">
              <w:rPr>
                <w:rStyle w:val="Hyperlink"/>
                <w:noProof/>
              </w:rPr>
              <w:t>Which is the recommended browser for accessing the SAGERS?</w:t>
            </w:r>
            <w:r w:rsidR="00F16E62">
              <w:rPr>
                <w:noProof/>
                <w:webHidden/>
              </w:rPr>
              <w:tab/>
            </w:r>
            <w:r w:rsidR="00F16E62">
              <w:rPr>
                <w:noProof/>
                <w:webHidden/>
              </w:rPr>
              <w:fldChar w:fldCharType="begin"/>
            </w:r>
            <w:r w:rsidR="00F16E62">
              <w:rPr>
                <w:noProof/>
                <w:webHidden/>
              </w:rPr>
              <w:instrText xml:space="preserve"> PAGEREF _Toc109812376 \h </w:instrText>
            </w:r>
            <w:r w:rsidR="00F16E62">
              <w:rPr>
                <w:noProof/>
                <w:webHidden/>
              </w:rPr>
            </w:r>
            <w:r w:rsidR="00F16E62">
              <w:rPr>
                <w:noProof/>
                <w:webHidden/>
              </w:rPr>
              <w:fldChar w:fldCharType="separate"/>
            </w:r>
            <w:r w:rsidR="00F16E62">
              <w:rPr>
                <w:noProof/>
                <w:webHidden/>
              </w:rPr>
              <w:t>9</w:t>
            </w:r>
            <w:r w:rsidR="00F16E62">
              <w:rPr>
                <w:noProof/>
                <w:webHidden/>
              </w:rPr>
              <w:fldChar w:fldCharType="end"/>
            </w:r>
          </w:hyperlink>
        </w:p>
        <w:p w14:paraId="064BB593" w14:textId="7FE688A0" w:rsidR="00F16E62" w:rsidRDefault="00161F7F">
          <w:pPr>
            <w:pStyle w:val="TOC2"/>
            <w:rPr>
              <w:rFonts w:asciiTheme="minorHAnsi" w:hAnsiTheme="minorHAnsi" w:cstheme="minorBidi"/>
              <w:noProof/>
              <w:lang w:val="en-ZA" w:eastAsia="en-ZA"/>
            </w:rPr>
          </w:pPr>
          <w:hyperlink w:anchor="_Toc109812377" w:history="1">
            <w:r w:rsidR="00F16E62" w:rsidRPr="00932F8D">
              <w:rPr>
                <w:rStyle w:val="Hyperlink"/>
                <w:noProof/>
              </w:rPr>
              <w:t>1.3.</w:t>
            </w:r>
            <w:r w:rsidR="00F16E62">
              <w:rPr>
                <w:rFonts w:asciiTheme="minorHAnsi" w:hAnsiTheme="minorHAnsi" w:cstheme="minorBidi"/>
                <w:noProof/>
                <w:lang w:val="en-ZA" w:eastAsia="en-ZA"/>
              </w:rPr>
              <w:tab/>
            </w:r>
            <w:r w:rsidR="00F16E62" w:rsidRPr="00932F8D">
              <w:rPr>
                <w:rStyle w:val="Hyperlink"/>
                <w:noProof/>
              </w:rPr>
              <w:t>Do the NGERs within South Africa only use the IPCC Guidelines for instruction?</w:t>
            </w:r>
            <w:r w:rsidR="00F16E62">
              <w:rPr>
                <w:noProof/>
                <w:webHidden/>
              </w:rPr>
              <w:tab/>
            </w:r>
            <w:r w:rsidR="00F16E62">
              <w:rPr>
                <w:noProof/>
                <w:webHidden/>
              </w:rPr>
              <w:fldChar w:fldCharType="begin"/>
            </w:r>
            <w:r w:rsidR="00F16E62">
              <w:rPr>
                <w:noProof/>
                <w:webHidden/>
              </w:rPr>
              <w:instrText xml:space="preserve"> PAGEREF _Toc109812377 \h </w:instrText>
            </w:r>
            <w:r w:rsidR="00F16E62">
              <w:rPr>
                <w:noProof/>
                <w:webHidden/>
              </w:rPr>
            </w:r>
            <w:r w:rsidR="00F16E62">
              <w:rPr>
                <w:noProof/>
                <w:webHidden/>
              </w:rPr>
              <w:fldChar w:fldCharType="separate"/>
            </w:r>
            <w:r w:rsidR="00F16E62">
              <w:rPr>
                <w:noProof/>
                <w:webHidden/>
              </w:rPr>
              <w:t>9</w:t>
            </w:r>
            <w:r w:rsidR="00F16E62">
              <w:rPr>
                <w:noProof/>
                <w:webHidden/>
              </w:rPr>
              <w:fldChar w:fldCharType="end"/>
            </w:r>
          </w:hyperlink>
        </w:p>
        <w:p w14:paraId="21817D3B" w14:textId="6D2DEE9F" w:rsidR="00F16E62" w:rsidRDefault="00161F7F">
          <w:pPr>
            <w:pStyle w:val="TOC2"/>
            <w:rPr>
              <w:rFonts w:asciiTheme="minorHAnsi" w:hAnsiTheme="minorHAnsi" w:cstheme="minorBidi"/>
              <w:noProof/>
              <w:lang w:val="en-ZA" w:eastAsia="en-ZA"/>
            </w:rPr>
          </w:pPr>
          <w:hyperlink w:anchor="_Toc109812378" w:history="1">
            <w:r w:rsidR="00F16E62" w:rsidRPr="00932F8D">
              <w:rPr>
                <w:rStyle w:val="Hyperlink"/>
                <w:noProof/>
              </w:rPr>
              <w:t>1.4.</w:t>
            </w:r>
            <w:r w:rsidR="00F16E62">
              <w:rPr>
                <w:rFonts w:asciiTheme="minorHAnsi" w:hAnsiTheme="minorHAnsi" w:cstheme="minorBidi"/>
                <w:noProof/>
                <w:lang w:val="en-ZA" w:eastAsia="en-ZA"/>
              </w:rPr>
              <w:tab/>
            </w:r>
            <w:r w:rsidR="00F16E62" w:rsidRPr="00932F8D">
              <w:rPr>
                <w:rStyle w:val="Hyperlink"/>
                <w:noProof/>
              </w:rPr>
              <w:t>Is there a SAGERS user guide?</w:t>
            </w:r>
            <w:r w:rsidR="00F16E62">
              <w:rPr>
                <w:noProof/>
                <w:webHidden/>
              </w:rPr>
              <w:tab/>
            </w:r>
            <w:r w:rsidR="00F16E62">
              <w:rPr>
                <w:noProof/>
                <w:webHidden/>
              </w:rPr>
              <w:fldChar w:fldCharType="begin"/>
            </w:r>
            <w:r w:rsidR="00F16E62">
              <w:rPr>
                <w:noProof/>
                <w:webHidden/>
              </w:rPr>
              <w:instrText xml:space="preserve"> PAGEREF _Toc109812378 \h </w:instrText>
            </w:r>
            <w:r w:rsidR="00F16E62">
              <w:rPr>
                <w:noProof/>
                <w:webHidden/>
              </w:rPr>
            </w:r>
            <w:r w:rsidR="00F16E62">
              <w:rPr>
                <w:noProof/>
                <w:webHidden/>
              </w:rPr>
              <w:fldChar w:fldCharType="separate"/>
            </w:r>
            <w:r w:rsidR="00F16E62">
              <w:rPr>
                <w:noProof/>
                <w:webHidden/>
              </w:rPr>
              <w:t>9</w:t>
            </w:r>
            <w:r w:rsidR="00F16E62">
              <w:rPr>
                <w:noProof/>
                <w:webHidden/>
              </w:rPr>
              <w:fldChar w:fldCharType="end"/>
            </w:r>
          </w:hyperlink>
        </w:p>
        <w:p w14:paraId="7FADF614" w14:textId="2D65D51D" w:rsidR="00F16E62" w:rsidRDefault="00161F7F">
          <w:pPr>
            <w:pStyle w:val="TOC2"/>
            <w:rPr>
              <w:rFonts w:asciiTheme="minorHAnsi" w:hAnsiTheme="minorHAnsi" w:cstheme="minorBidi"/>
              <w:noProof/>
              <w:lang w:val="en-ZA" w:eastAsia="en-ZA"/>
            </w:rPr>
          </w:pPr>
          <w:hyperlink w:anchor="_Toc109812379" w:history="1">
            <w:r w:rsidR="00F16E62" w:rsidRPr="00932F8D">
              <w:rPr>
                <w:rStyle w:val="Hyperlink"/>
                <w:noProof/>
              </w:rPr>
              <w:t>1.5.</w:t>
            </w:r>
            <w:r w:rsidR="00F16E62">
              <w:rPr>
                <w:rFonts w:asciiTheme="minorHAnsi" w:hAnsiTheme="minorHAnsi" w:cstheme="minorBidi"/>
                <w:noProof/>
                <w:lang w:val="en-ZA" w:eastAsia="en-ZA"/>
              </w:rPr>
              <w:tab/>
            </w:r>
            <w:r w:rsidR="00F16E62" w:rsidRPr="00932F8D">
              <w:rPr>
                <w:rStyle w:val="Hyperlink"/>
                <w:noProof/>
              </w:rPr>
              <w:t>The report has been sent back for amendment however when I click on the edit icon the information disappears. I have tried using another browser and get the same result.</w:t>
            </w:r>
            <w:r w:rsidR="00F16E62">
              <w:rPr>
                <w:noProof/>
                <w:webHidden/>
              </w:rPr>
              <w:tab/>
            </w:r>
            <w:r w:rsidR="00F16E62">
              <w:rPr>
                <w:noProof/>
                <w:webHidden/>
              </w:rPr>
              <w:fldChar w:fldCharType="begin"/>
            </w:r>
            <w:r w:rsidR="00F16E62">
              <w:rPr>
                <w:noProof/>
                <w:webHidden/>
              </w:rPr>
              <w:instrText xml:space="preserve"> PAGEREF _Toc109812379 \h </w:instrText>
            </w:r>
            <w:r w:rsidR="00F16E62">
              <w:rPr>
                <w:noProof/>
                <w:webHidden/>
              </w:rPr>
            </w:r>
            <w:r w:rsidR="00F16E62">
              <w:rPr>
                <w:noProof/>
                <w:webHidden/>
              </w:rPr>
              <w:fldChar w:fldCharType="separate"/>
            </w:r>
            <w:r w:rsidR="00F16E62">
              <w:rPr>
                <w:noProof/>
                <w:webHidden/>
              </w:rPr>
              <w:t>9</w:t>
            </w:r>
            <w:r w:rsidR="00F16E62">
              <w:rPr>
                <w:noProof/>
                <w:webHidden/>
              </w:rPr>
              <w:fldChar w:fldCharType="end"/>
            </w:r>
          </w:hyperlink>
        </w:p>
        <w:p w14:paraId="4FC65F91" w14:textId="3B731B35" w:rsidR="00F16E62" w:rsidRDefault="00161F7F">
          <w:pPr>
            <w:pStyle w:val="TOC2"/>
            <w:rPr>
              <w:rFonts w:asciiTheme="minorHAnsi" w:hAnsiTheme="minorHAnsi" w:cstheme="minorBidi"/>
              <w:noProof/>
              <w:lang w:val="en-ZA" w:eastAsia="en-ZA"/>
            </w:rPr>
          </w:pPr>
          <w:hyperlink w:anchor="_Toc109812380" w:history="1">
            <w:r w:rsidR="00F16E62" w:rsidRPr="00932F8D">
              <w:rPr>
                <w:rStyle w:val="Hyperlink"/>
                <w:noProof/>
              </w:rPr>
              <w:t>1.6.</w:t>
            </w:r>
            <w:r w:rsidR="00F16E62">
              <w:rPr>
                <w:rFonts w:asciiTheme="minorHAnsi" w:hAnsiTheme="minorHAnsi" w:cstheme="minorBidi"/>
                <w:noProof/>
                <w:lang w:val="en-ZA" w:eastAsia="en-ZA"/>
              </w:rPr>
              <w:tab/>
            </w:r>
            <w:r w:rsidR="00F16E62" w:rsidRPr="00932F8D">
              <w:rPr>
                <w:rStyle w:val="Hyperlink"/>
                <w:noProof/>
              </w:rPr>
              <w:t>When my GHG report is generated on the dashboard, the reporting year states 2022, as below. Does this mean that I must report data for 2022?</w:t>
            </w:r>
            <w:r w:rsidR="00F16E62">
              <w:rPr>
                <w:noProof/>
                <w:webHidden/>
              </w:rPr>
              <w:tab/>
            </w:r>
            <w:r w:rsidR="00F16E62">
              <w:rPr>
                <w:noProof/>
                <w:webHidden/>
              </w:rPr>
              <w:fldChar w:fldCharType="begin"/>
            </w:r>
            <w:r w:rsidR="00F16E62">
              <w:rPr>
                <w:noProof/>
                <w:webHidden/>
              </w:rPr>
              <w:instrText xml:space="preserve"> PAGEREF _Toc109812380 \h </w:instrText>
            </w:r>
            <w:r w:rsidR="00F16E62">
              <w:rPr>
                <w:noProof/>
                <w:webHidden/>
              </w:rPr>
            </w:r>
            <w:r w:rsidR="00F16E62">
              <w:rPr>
                <w:noProof/>
                <w:webHidden/>
              </w:rPr>
              <w:fldChar w:fldCharType="separate"/>
            </w:r>
            <w:r w:rsidR="00F16E62">
              <w:rPr>
                <w:noProof/>
                <w:webHidden/>
              </w:rPr>
              <w:t>10</w:t>
            </w:r>
            <w:r w:rsidR="00F16E62">
              <w:rPr>
                <w:noProof/>
                <w:webHidden/>
              </w:rPr>
              <w:fldChar w:fldCharType="end"/>
            </w:r>
          </w:hyperlink>
        </w:p>
        <w:p w14:paraId="084D12B9" w14:textId="58E4D2E1" w:rsidR="00F16E62" w:rsidRDefault="00161F7F">
          <w:pPr>
            <w:pStyle w:val="TOC1"/>
            <w:rPr>
              <w:rFonts w:asciiTheme="minorHAnsi" w:eastAsiaTheme="minorEastAsia" w:hAnsiTheme="minorHAnsi"/>
              <w:b w:val="0"/>
              <w:lang w:val="en-ZA" w:eastAsia="en-ZA"/>
            </w:rPr>
          </w:pPr>
          <w:hyperlink w:anchor="_Toc109812381" w:history="1">
            <w:r w:rsidR="00F16E62" w:rsidRPr="00932F8D">
              <w:rPr>
                <w:rStyle w:val="Hyperlink"/>
              </w:rPr>
              <w:t>2.</w:t>
            </w:r>
            <w:r w:rsidR="00F16E62">
              <w:rPr>
                <w:rFonts w:asciiTheme="minorHAnsi" w:eastAsiaTheme="minorEastAsia" w:hAnsiTheme="minorHAnsi"/>
                <w:b w:val="0"/>
                <w:lang w:val="en-ZA" w:eastAsia="en-ZA"/>
              </w:rPr>
              <w:tab/>
            </w:r>
            <w:r w:rsidR="00F16E62" w:rsidRPr="00932F8D">
              <w:rPr>
                <w:rStyle w:val="Hyperlink"/>
              </w:rPr>
              <w:t>Registration Questions</w:t>
            </w:r>
            <w:r w:rsidR="00F16E62">
              <w:rPr>
                <w:webHidden/>
              </w:rPr>
              <w:tab/>
            </w:r>
            <w:r w:rsidR="00F16E62">
              <w:rPr>
                <w:webHidden/>
              </w:rPr>
              <w:fldChar w:fldCharType="begin"/>
            </w:r>
            <w:r w:rsidR="00F16E62">
              <w:rPr>
                <w:webHidden/>
              </w:rPr>
              <w:instrText xml:space="preserve"> PAGEREF _Toc109812381 \h </w:instrText>
            </w:r>
            <w:r w:rsidR="00F16E62">
              <w:rPr>
                <w:webHidden/>
              </w:rPr>
            </w:r>
            <w:r w:rsidR="00F16E62">
              <w:rPr>
                <w:webHidden/>
              </w:rPr>
              <w:fldChar w:fldCharType="separate"/>
            </w:r>
            <w:r w:rsidR="00F16E62">
              <w:rPr>
                <w:webHidden/>
              </w:rPr>
              <w:t>11</w:t>
            </w:r>
            <w:r w:rsidR="00F16E62">
              <w:rPr>
                <w:webHidden/>
              </w:rPr>
              <w:fldChar w:fldCharType="end"/>
            </w:r>
          </w:hyperlink>
        </w:p>
        <w:p w14:paraId="0FD3FCE8" w14:textId="4702982C" w:rsidR="00F16E62" w:rsidRDefault="00161F7F">
          <w:pPr>
            <w:pStyle w:val="TOC2"/>
            <w:rPr>
              <w:rFonts w:asciiTheme="minorHAnsi" w:hAnsiTheme="minorHAnsi" w:cstheme="minorBidi"/>
              <w:noProof/>
              <w:lang w:val="en-ZA" w:eastAsia="en-ZA"/>
            </w:rPr>
          </w:pPr>
          <w:hyperlink w:anchor="_Toc109812382" w:history="1">
            <w:r w:rsidR="00F16E62" w:rsidRPr="00932F8D">
              <w:rPr>
                <w:rStyle w:val="Hyperlink"/>
                <w:noProof/>
              </w:rPr>
              <w:t>2.1.</w:t>
            </w:r>
            <w:r w:rsidR="00F16E62">
              <w:rPr>
                <w:rFonts w:asciiTheme="minorHAnsi" w:hAnsiTheme="minorHAnsi" w:cstheme="minorBidi"/>
                <w:noProof/>
                <w:lang w:val="en-ZA" w:eastAsia="en-ZA"/>
              </w:rPr>
              <w:tab/>
            </w:r>
            <w:r w:rsidR="00F16E62" w:rsidRPr="00932F8D">
              <w:rPr>
                <w:rStyle w:val="Hyperlink"/>
                <w:noProof/>
              </w:rPr>
              <w:t>Will manual registration using the Annexure 2 form still be accepted going forward?</w:t>
            </w:r>
            <w:r w:rsidR="00F16E62">
              <w:rPr>
                <w:noProof/>
                <w:webHidden/>
              </w:rPr>
              <w:tab/>
            </w:r>
            <w:r w:rsidR="00F16E62">
              <w:rPr>
                <w:noProof/>
                <w:webHidden/>
              </w:rPr>
              <w:fldChar w:fldCharType="begin"/>
            </w:r>
            <w:r w:rsidR="00F16E62">
              <w:rPr>
                <w:noProof/>
                <w:webHidden/>
              </w:rPr>
              <w:instrText xml:space="preserve"> PAGEREF _Toc109812382 \h </w:instrText>
            </w:r>
            <w:r w:rsidR="00F16E62">
              <w:rPr>
                <w:noProof/>
                <w:webHidden/>
              </w:rPr>
            </w:r>
            <w:r w:rsidR="00F16E62">
              <w:rPr>
                <w:noProof/>
                <w:webHidden/>
              </w:rPr>
              <w:fldChar w:fldCharType="separate"/>
            </w:r>
            <w:r w:rsidR="00F16E62">
              <w:rPr>
                <w:noProof/>
                <w:webHidden/>
              </w:rPr>
              <w:t>11</w:t>
            </w:r>
            <w:r w:rsidR="00F16E62">
              <w:rPr>
                <w:noProof/>
                <w:webHidden/>
              </w:rPr>
              <w:fldChar w:fldCharType="end"/>
            </w:r>
          </w:hyperlink>
        </w:p>
        <w:p w14:paraId="5299FE83" w14:textId="192CB491" w:rsidR="00F16E62" w:rsidRDefault="00161F7F">
          <w:pPr>
            <w:pStyle w:val="TOC2"/>
            <w:rPr>
              <w:rFonts w:asciiTheme="minorHAnsi" w:hAnsiTheme="minorHAnsi" w:cstheme="minorBidi"/>
              <w:noProof/>
              <w:lang w:val="en-ZA" w:eastAsia="en-ZA"/>
            </w:rPr>
          </w:pPr>
          <w:hyperlink w:anchor="_Toc109812383" w:history="1">
            <w:r w:rsidR="00F16E62" w:rsidRPr="00932F8D">
              <w:rPr>
                <w:rStyle w:val="Hyperlink"/>
                <w:noProof/>
              </w:rPr>
              <w:t>2.2.</w:t>
            </w:r>
            <w:r w:rsidR="00F16E62">
              <w:rPr>
                <w:rFonts w:asciiTheme="minorHAnsi" w:hAnsiTheme="minorHAnsi" w:cstheme="minorBidi"/>
                <w:noProof/>
                <w:lang w:val="en-ZA" w:eastAsia="en-ZA"/>
              </w:rPr>
              <w:tab/>
            </w:r>
            <w:r w:rsidR="00F16E62" w:rsidRPr="00932F8D">
              <w:rPr>
                <w:rStyle w:val="Hyperlink"/>
                <w:noProof/>
              </w:rPr>
              <w:t>How does a public user register on SAGERS?</w:t>
            </w:r>
            <w:r w:rsidR="00F16E62">
              <w:rPr>
                <w:noProof/>
                <w:webHidden/>
              </w:rPr>
              <w:tab/>
            </w:r>
            <w:r w:rsidR="00F16E62">
              <w:rPr>
                <w:noProof/>
                <w:webHidden/>
              </w:rPr>
              <w:fldChar w:fldCharType="begin"/>
            </w:r>
            <w:r w:rsidR="00F16E62">
              <w:rPr>
                <w:noProof/>
                <w:webHidden/>
              </w:rPr>
              <w:instrText xml:space="preserve"> PAGEREF _Toc109812383 \h </w:instrText>
            </w:r>
            <w:r w:rsidR="00F16E62">
              <w:rPr>
                <w:noProof/>
                <w:webHidden/>
              </w:rPr>
            </w:r>
            <w:r w:rsidR="00F16E62">
              <w:rPr>
                <w:noProof/>
                <w:webHidden/>
              </w:rPr>
              <w:fldChar w:fldCharType="separate"/>
            </w:r>
            <w:r w:rsidR="00F16E62">
              <w:rPr>
                <w:noProof/>
                <w:webHidden/>
              </w:rPr>
              <w:t>11</w:t>
            </w:r>
            <w:r w:rsidR="00F16E62">
              <w:rPr>
                <w:noProof/>
                <w:webHidden/>
              </w:rPr>
              <w:fldChar w:fldCharType="end"/>
            </w:r>
          </w:hyperlink>
        </w:p>
        <w:p w14:paraId="78C5C433" w14:textId="537E7A19" w:rsidR="00F16E62" w:rsidRDefault="00161F7F">
          <w:pPr>
            <w:pStyle w:val="TOC2"/>
            <w:rPr>
              <w:rFonts w:asciiTheme="minorHAnsi" w:hAnsiTheme="minorHAnsi" w:cstheme="minorBidi"/>
              <w:noProof/>
              <w:lang w:val="en-ZA" w:eastAsia="en-ZA"/>
            </w:rPr>
          </w:pPr>
          <w:hyperlink w:anchor="_Toc109812384" w:history="1">
            <w:r w:rsidR="00F16E62" w:rsidRPr="00932F8D">
              <w:rPr>
                <w:rStyle w:val="Hyperlink"/>
                <w:noProof/>
              </w:rPr>
              <w:t>2.3.</w:t>
            </w:r>
            <w:r w:rsidR="00F16E62">
              <w:rPr>
                <w:rFonts w:asciiTheme="minorHAnsi" w:hAnsiTheme="minorHAnsi" w:cstheme="minorBidi"/>
                <w:noProof/>
                <w:lang w:val="en-ZA" w:eastAsia="en-ZA"/>
              </w:rPr>
              <w:tab/>
            </w:r>
            <w:r w:rsidR="00F16E62" w:rsidRPr="00932F8D">
              <w:rPr>
                <w:rStyle w:val="Hyperlink"/>
                <w:noProof/>
              </w:rPr>
              <w:t>How does a data provider decide which IPCC Code is suitable to his/her facility?</w:t>
            </w:r>
            <w:r w:rsidR="00F16E62">
              <w:rPr>
                <w:noProof/>
                <w:webHidden/>
              </w:rPr>
              <w:tab/>
            </w:r>
            <w:r w:rsidR="00F16E62">
              <w:rPr>
                <w:noProof/>
                <w:webHidden/>
              </w:rPr>
              <w:fldChar w:fldCharType="begin"/>
            </w:r>
            <w:r w:rsidR="00F16E62">
              <w:rPr>
                <w:noProof/>
                <w:webHidden/>
              </w:rPr>
              <w:instrText xml:space="preserve"> PAGEREF _Toc109812384 \h </w:instrText>
            </w:r>
            <w:r w:rsidR="00F16E62">
              <w:rPr>
                <w:noProof/>
                <w:webHidden/>
              </w:rPr>
            </w:r>
            <w:r w:rsidR="00F16E62">
              <w:rPr>
                <w:noProof/>
                <w:webHidden/>
              </w:rPr>
              <w:fldChar w:fldCharType="separate"/>
            </w:r>
            <w:r w:rsidR="00F16E62">
              <w:rPr>
                <w:noProof/>
                <w:webHidden/>
              </w:rPr>
              <w:t>14</w:t>
            </w:r>
            <w:r w:rsidR="00F16E62">
              <w:rPr>
                <w:noProof/>
                <w:webHidden/>
              </w:rPr>
              <w:fldChar w:fldCharType="end"/>
            </w:r>
          </w:hyperlink>
        </w:p>
        <w:p w14:paraId="5604C5D9" w14:textId="2783CBD2" w:rsidR="00F16E62" w:rsidRDefault="00161F7F">
          <w:pPr>
            <w:pStyle w:val="TOC2"/>
            <w:rPr>
              <w:rFonts w:asciiTheme="minorHAnsi" w:hAnsiTheme="minorHAnsi" w:cstheme="minorBidi"/>
              <w:noProof/>
              <w:lang w:val="en-ZA" w:eastAsia="en-ZA"/>
            </w:rPr>
          </w:pPr>
          <w:hyperlink w:anchor="_Toc109812385" w:history="1">
            <w:r w:rsidR="00F16E62" w:rsidRPr="00932F8D">
              <w:rPr>
                <w:rStyle w:val="Hyperlink"/>
                <w:noProof/>
              </w:rPr>
              <w:t>2.4.</w:t>
            </w:r>
            <w:r w:rsidR="00F16E62">
              <w:rPr>
                <w:rFonts w:asciiTheme="minorHAnsi" w:hAnsiTheme="minorHAnsi" w:cstheme="minorBidi"/>
                <w:noProof/>
                <w:lang w:val="en-ZA" w:eastAsia="en-ZA"/>
              </w:rPr>
              <w:tab/>
            </w:r>
            <w:r w:rsidR="00F16E62" w:rsidRPr="00932F8D">
              <w:rPr>
                <w:rStyle w:val="Hyperlink"/>
                <w:noProof/>
              </w:rPr>
              <w:t>I have selected an incorrect account type; how do I change the account type?</w:t>
            </w:r>
            <w:r w:rsidR="00F16E62">
              <w:rPr>
                <w:noProof/>
                <w:webHidden/>
              </w:rPr>
              <w:tab/>
            </w:r>
            <w:r w:rsidR="00F16E62">
              <w:rPr>
                <w:noProof/>
                <w:webHidden/>
              </w:rPr>
              <w:fldChar w:fldCharType="begin"/>
            </w:r>
            <w:r w:rsidR="00F16E62">
              <w:rPr>
                <w:noProof/>
                <w:webHidden/>
              </w:rPr>
              <w:instrText xml:space="preserve"> PAGEREF _Toc109812385 \h </w:instrText>
            </w:r>
            <w:r w:rsidR="00F16E62">
              <w:rPr>
                <w:noProof/>
                <w:webHidden/>
              </w:rPr>
            </w:r>
            <w:r w:rsidR="00F16E62">
              <w:rPr>
                <w:noProof/>
                <w:webHidden/>
              </w:rPr>
              <w:fldChar w:fldCharType="separate"/>
            </w:r>
            <w:r w:rsidR="00F16E62">
              <w:rPr>
                <w:noProof/>
                <w:webHidden/>
              </w:rPr>
              <w:t>15</w:t>
            </w:r>
            <w:r w:rsidR="00F16E62">
              <w:rPr>
                <w:noProof/>
                <w:webHidden/>
              </w:rPr>
              <w:fldChar w:fldCharType="end"/>
            </w:r>
          </w:hyperlink>
        </w:p>
        <w:p w14:paraId="1026F046" w14:textId="28786B85" w:rsidR="00F16E62" w:rsidRDefault="00161F7F">
          <w:pPr>
            <w:pStyle w:val="TOC2"/>
            <w:rPr>
              <w:rFonts w:asciiTheme="minorHAnsi" w:hAnsiTheme="minorHAnsi" w:cstheme="minorBidi"/>
              <w:noProof/>
              <w:lang w:val="en-ZA" w:eastAsia="en-ZA"/>
            </w:rPr>
          </w:pPr>
          <w:hyperlink w:anchor="_Toc109812386" w:history="1">
            <w:r w:rsidR="00F16E62" w:rsidRPr="00932F8D">
              <w:rPr>
                <w:rStyle w:val="Hyperlink"/>
                <w:noProof/>
              </w:rPr>
              <w:t>2.5.</w:t>
            </w:r>
            <w:r w:rsidR="00F16E62">
              <w:rPr>
                <w:rFonts w:asciiTheme="minorHAnsi" w:hAnsiTheme="minorHAnsi" w:cstheme="minorBidi"/>
                <w:noProof/>
                <w:lang w:val="en-ZA" w:eastAsia="en-ZA"/>
              </w:rPr>
              <w:tab/>
            </w:r>
            <w:r w:rsidR="00F16E62" w:rsidRPr="00932F8D">
              <w:rPr>
                <w:rStyle w:val="Hyperlink"/>
                <w:noProof/>
              </w:rPr>
              <w:t>Can I link my SAAELIP account with my SAGERS account?</w:t>
            </w:r>
            <w:r w:rsidR="00F16E62">
              <w:rPr>
                <w:noProof/>
                <w:webHidden/>
              </w:rPr>
              <w:tab/>
            </w:r>
            <w:r w:rsidR="00F16E62">
              <w:rPr>
                <w:noProof/>
                <w:webHidden/>
              </w:rPr>
              <w:fldChar w:fldCharType="begin"/>
            </w:r>
            <w:r w:rsidR="00F16E62">
              <w:rPr>
                <w:noProof/>
                <w:webHidden/>
              </w:rPr>
              <w:instrText xml:space="preserve"> PAGEREF _Toc109812386 \h </w:instrText>
            </w:r>
            <w:r w:rsidR="00F16E62">
              <w:rPr>
                <w:noProof/>
                <w:webHidden/>
              </w:rPr>
            </w:r>
            <w:r w:rsidR="00F16E62">
              <w:rPr>
                <w:noProof/>
                <w:webHidden/>
              </w:rPr>
              <w:fldChar w:fldCharType="separate"/>
            </w:r>
            <w:r w:rsidR="00F16E62">
              <w:rPr>
                <w:noProof/>
                <w:webHidden/>
              </w:rPr>
              <w:t>15</w:t>
            </w:r>
            <w:r w:rsidR="00F16E62">
              <w:rPr>
                <w:noProof/>
                <w:webHidden/>
              </w:rPr>
              <w:fldChar w:fldCharType="end"/>
            </w:r>
          </w:hyperlink>
        </w:p>
        <w:p w14:paraId="40DC6A1F" w14:textId="1B6FFD87" w:rsidR="00F16E62" w:rsidRDefault="00161F7F">
          <w:pPr>
            <w:pStyle w:val="TOC2"/>
            <w:rPr>
              <w:rFonts w:asciiTheme="minorHAnsi" w:hAnsiTheme="minorHAnsi" w:cstheme="minorBidi"/>
              <w:noProof/>
              <w:lang w:val="en-ZA" w:eastAsia="en-ZA"/>
            </w:rPr>
          </w:pPr>
          <w:hyperlink w:anchor="_Toc109812387" w:history="1">
            <w:r w:rsidR="00F16E62" w:rsidRPr="00932F8D">
              <w:rPr>
                <w:rStyle w:val="Hyperlink"/>
                <w:noProof/>
              </w:rPr>
              <w:t>2.6.</w:t>
            </w:r>
            <w:r w:rsidR="00F16E62">
              <w:rPr>
                <w:rFonts w:asciiTheme="minorHAnsi" w:hAnsiTheme="minorHAnsi" w:cstheme="minorBidi"/>
                <w:noProof/>
                <w:lang w:val="en-ZA" w:eastAsia="en-ZA"/>
              </w:rPr>
              <w:tab/>
            </w:r>
            <w:r w:rsidR="00F16E62" w:rsidRPr="00932F8D">
              <w:rPr>
                <w:rStyle w:val="Hyperlink"/>
                <w:noProof/>
              </w:rPr>
              <w:t>I registered for GHG reporting manually before December 2019 and have a Data Provider ID, how do I migrate to SAGERS?</w:t>
            </w:r>
            <w:r w:rsidR="00F16E62">
              <w:rPr>
                <w:noProof/>
                <w:webHidden/>
              </w:rPr>
              <w:tab/>
            </w:r>
            <w:r w:rsidR="00F16E62">
              <w:rPr>
                <w:noProof/>
                <w:webHidden/>
              </w:rPr>
              <w:fldChar w:fldCharType="begin"/>
            </w:r>
            <w:r w:rsidR="00F16E62">
              <w:rPr>
                <w:noProof/>
                <w:webHidden/>
              </w:rPr>
              <w:instrText xml:space="preserve"> PAGEREF _Toc109812387 \h </w:instrText>
            </w:r>
            <w:r w:rsidR="00F16E62">
              <w:rPr>
                <w:noProof/>
                <w:webHidden/>
              </w:rPr>
            </w:r>
            <w:r w:rsidR="00F16E62">
              <w:rPr>
                <w:noProof/>
                <w:webHidden/>
              </w:rPr>
              <w:fldChar w:fldCharType="separate"/>
            </w:r>
            <w:r w:rsidR="00F16E62">
              <w:rPr>
                <w:noProof/>
                <w:webHidden/>
              </w:rPr>
              <w:t>15</w:t>
            </w:r>
            <w:r w:rsidR="00F16E62">
              <w:rPr>
                <w:noProof/>
                <w:webHidden/>
              </w:rPr>
              <w:fldChar w:fldCharType="end"/>
            </w:r>
          </w:hyperlink>
        </w:p>
        <w:p w14:paraId="62E0060B" w14:textId="2EDD553E" w:rsidR="00F16E62" w:rsidRDefault="00161F7F">
          <w:pPr>
            <w:pStyle w:val="TOC2"/>
            <w:rPr>
              <w:rFonts w:asciiTheme="minorHAnsi" w:hAnsiTheme="minorHAnsi" w:cstheme="minorBidi"/>
              <w:noProof/>
              <w:lang w:val="en-ZA" w:eastAsia="en-ZA"/>
            </w:rPr>
          </w:pPr>
          <w:hyperlink w:anchor="_Toc109812388" w:history="1">
            <w:r w:rsidR="00F16E62" w:rsidRPr="00932F8D">
              <w:rPr>
                <w:rStyle w:val="Hyperlink"/>
                <w:noProof/>
              </w:rPr>
              <w:t>2.7.</w:t>
            </w:r>
            <w:r w:rsidR="00F16E62">
              <w:rPr>
                <w:rFonts w:asciiTheme="minorHAnsi" w:hAnsiTheme="minorHAnsi" w:cstheme="minorBidi"/>
                <w:noProof/>
                <w:lang w:val="en-ZA" w:eastAsia="en-ZA"/>
              </w:rPr>
              <w:tab/>
            </w:r>
            <w:r w:rsidR="00F16E62" w:rsidRPr="00932F8D">
              <w:rPr>
                <w:rStyle w:val="Hyperlink"/>
                <w:noProof/>
              </w:rPr>
              <w:t>I have standby generators; how do I register them in the system?</w:t>
            </w:r>
            <w:r w:rsidR="00F16E62">
              <w:rPr>
                <w:noProof/>
                <w:webHidden/>
              </w:rPr>
              <w:tab/>
            </w:r>
            <w:r w:rsidR="00F16E62">
              <w:rPr>
                <w:noProof/>
                <w:webHidden/>
              </w:rPr>
              <w:fldChar w:fldCharType="begin"/>
            </w:r>
            <w:r w:rsidR="00F16E62">
              <w:rPr>
                <w:noProof/>
                <w:webHidden/>
              </w:rPr>
              <w:instrText xml:space="preserve"> PAGEREF _Toc109812388 \h </w:instrText>
            </w:r>
            <w:r w:rsidR="00F16E62">
              <w:rPr>
                <w:noProof/>
                <w:webHidden/>
              </w:rPr>
            </w:r>
            <w:r w:rsidR="00F16E62">
              <w:rPr>
                <w:noProof/>
                <w:webHidden/>
              </w:rPr>
              <w:fldChar w:fldCharType="separate"/>
            </w:r>
            <w:r w:rsidR="00F16E62">
              <w:rPr>
                <w:noProof/>
                <w:webHidden/>
              </w:rPr>
              <w:t>15</w:t>
            </w:r>
            <w:r w:rsidR="00F16E62">
              <w:rPr>
                <w:noProof/>
                <w:webHidden/>
              </w:rPr>
              <w:fldChar w:fldCharType="end"/>
            </w:r>
          </w:hyperlink>
        </w:p>
        <w:p w14:paraId="4754CB95" w14:textId="5F07C156" w:rsidR="00F16E62" w:rsidRDefault="00161F7F">
          <w:pPr>
            <w:pStyle w:val="TOC2"/>
            <w:rPr>
              <w:rFonts w:asciiTheme="minorHAnsi" w:hAnsiTheme="minorHAnsi" w:cstheme="minorBidi"/>
              <w:noProof/>
              <w:lang w:val="en-ZA" w:eastAsia="en-ZA"/>
            </w:rPr>
          </w:pPr>
          <w:hyperlink w:anchor="_Toc109812389" w:history="1">
            <w:r w:rsidR="00F16E62" w:rsidRPr="00932F8D">
              <w:rPr>
                <w:rStyle w:val="Hyperlink"/>
                <w:noProof/>
              </w:rPr>
              <w:t>2.8.</w:t>
            </w:r>
            <w:r w:rsidR="00F16E62">
              <w:rPr>
                <w:rFonts w:asciiTheme="minorHAnsi" w:hAnsiTheme="minorHAnsi" w:cstheme="minorBidi"/>
                <w:noProof/>
                <w:lang w:val="en-ZA" w:eastAsia="en-ZA"/>
              </w:rPr>
              <w:tab/>
            </w:r>
            <w:r w:rsidR="00F16E62" w:rsidRPr="00932F8D">
              <w:rPr>
                <w:rStyle w:val="Hyperlink"/>
                <w:noProof/>
              </w:rPr>
              <w:t>I have declared all my boilers and the system requires me to attach a document, what do I attach?</w:t>
            </w:r>
            <w:r w:rsidR="00F16E62">
              <w:rPr>
                <w:noProof/>
                <w:webHidden/>
              </w:rPr>
              <w:tab/>
            </w:r>
            <w:r w:rsidR="00F16E62">
              <w:rPr>
                <w:noProof/>
                <w:webHidden/>
              </w:rPr>
              <w:fldChar w:fldCharType="begin"/>
            </w:r>
            <w:r w:rsidR="00F16E62">
              <w:rPr>
                <w:noProof/>
                <w:webHidden/>
              </w:rPr>
              <w:instrText xml:space="preserve"> PAGEREF _Toc109812389 \h </w:instrText>
            </w:r>
            <w:r w:rsidR="00F16E62">
              <w:rPr>
                <w:noProof/>
                <w:webHidden/>
              </w:rPr>
            </w:r>
            <w:r w:rsidR="00F16E62">
              <w:rPr>
                <w:noProof/>
                <w:webHidden/>
              </w:rPr>
              <w:fldChar w:fldCharType="separate"/>
            </w:r>
            <w:r w:rsidR="00F16E62">
              <w:rPr>
                <w:noProof/>
                <w:webHidden/>
              </w:rPr>
              <w:t>16</w:t>
            </w:r>
            <w:r w:rsidR="00F16E62">
              <w:rPr>
                <w:noProof/>
                <w:webHidden/>
              </w:rPr>
              <w:fldChar w:fldCharType="end"/>
            </w:r>
          </w:hyperlink>
        </w:p>
        <w:p w14:paraId="1B12E913" w14:textId="00F9AA93" w:rsidR="00F16E62" w:rsidRDefault="00161F7F">
          <w:pPr>
            <w:pStyle w:val="TOC2"/>
            <w:rPr>
              <w:rFonts w:asciiTheme="minorHAnsi" w:hAnsiTheme="minorHAnsi" w:cstheme="minorBidi"/>
              <w:noProof/>
              <w:lang w:val="en-ZA" w:eastAsia="en-ZA"/>
            </w:rPr>
          </w:pPr>
          <w:hyperlink w:anchor="_Toc109812390" w:history="1">
            <w:r w:rsidR="00F16E62" w:rsidRPr="00932F8D">
              <w:rPr>
                <w:rStyle w:val="Hyperlink"/>
                <w:noProof/>
              </w:rPr>
              <w:t>2.9.</w:t>
            </w:r>
            <w:r w:rsidR="00F16E62">
              <w:rPr>
                <w:rFonts w:asciiTheme="minorHAnsi" w:hAnsiTheme="minorHAnsi" w:cstheme="minorBidi"/>
                <w:noProof/>
                <w:lang w:val="en-ZA" w:eastAsia="en-ZA"/>
              </w:rPr>
              <w:tab/>
            </w:r>
            <w:r w:rsidR="00F16E62" w:rsidRPr="00932F8D">
              <w:rPr>
                <w:rStyle w:val="Hyperlink"/>
                <w:noProof/>
              </w:rPr>
              <w:t>I have registered in the NAEIS; do I need to re-register on the SAGERS?</w:t>
            </w:r>
            <w:r w:rsidR="00F16E62">
              <w:rPr>
                <w:noProof/>
                <w:webHidden/>
              </w:rPr>
              <w:tab/>
            </w:r>
            <w:r w:rsidR="00F16E62">
              <w:rPr>
                <w:noProof/>
                <w:webHidden/>
              </w:rPr>
              <w:fldChar w:fldCharType="begin"/>
            </w:r>
            <w:r w:rsidR="00F16E62">
              <w:rPr>
                <w:noProof/>
                <w:webHidden/>
              </w:rPr>
              <w:instrText xml:space="preserve"> PAGEREF _Toc109812390 \h </w:instrText>
            </w:r>
            <w:r w:rsidR="00F16E62">
              <w:rPr>
                <w:noProof/>
                <w:webHidden/>
              </w:rPr>
            </w:r>
            <w:r w:rsidR="00F16E62">
              <w:rPr>
                <w:noProof/>
                <w:webHidden/>
              </w:rPr>
              <w:fldChar w:fldCharType="separate"/>
            </w:r>
            <w:r w:rsidR="00F16E62">
              <w:rPr>
                <w:noProof/>
                <w:webHidden/>
              </w:rPr>
              <w:t>16</w:t>
            </w:r>
            <w:r w:rsidR="00F16E62">
              <w:rPr>
                <w:noProof/>
                <w:webHidden/>
              </w:rPr>
              <w:fldChar w:fldCharType="end"/>
            </w:r>
          </w:hyperlink>
        </w:p>
        <w:p w14:paraId="3F843E7E" w14:textId="4DB5B146" w:rsidR="00F16E62" w:rsidRDefault="00161F7F">
          <w:pPr>
            <w:pStyle w:val="TOC2"/>
            <w:rPr>
              <w:rFonts w:asciiTheme="minorHAnsi" w:hAnsiTheme="minorHAnsi" w:cstheme="minorBidi"/>
              <w:noProof/>
              <w:lang w:val="en-ZA" w:eastAsia="en-ZA"/>
            </w:rPr>
          </w:pPr>
          <w:hyperlink w:anchor="_Toc109812391" w:history="1">
            <w:r w:rsidR="00F16E62" w:rsidRPr="00932F8D">
              <w:rPr>
                <w:rStyle w:val="Hyperlink"/>
                <w:noProof/>
              </w:rPr>
              <w:t>2.10.</w:t>
            </w:r>
            <w:r w:rsidR="00F16E62">
              <w:rPr>
                <w:rFonts w:asciiTheme="minorHAnsi" w:hAnsiTheme="minorHAnsi" w:cstheme="minorBidi"/>
                <w:noProof/>
                <w:lang w:val="en-ZA" w:eastAsia="en-ZA"/>
              </w:rPr>
              <w:tab/>
            </w:r>
            <w:r w:rsidR="00F16E62" w:rsidRPr="00932F8D">
              <w:rPr>
                <w:rStyle w:val="Hyperlink"/>
                <w:noProof/>
              </w:rPr>
              <w:t>If a facility has not been required to report in terms of previous environmental-related legislation, will they still have to report via SAGERS?</w:t>
            </w:r>
            <w:r w:rsidR="00F16E62">
              <w:rPr>
                <w:noProof/>
                <w:webHidden/>
              </w:rPr>
              <w:tab/>
            </w:r>
            <w:r w:rsidR="00F16E62">
              <w:rPr>
                <w:noProof/>
                <w:webHidden/>
              </w:rPr>
              <w:fldChar w:fldCharType="begin"/>
            </w:r>
            <w:r w:rsidR="00F16E62">
              <w:rPr>
                <w:noProof/>
                <w:webHidden/>
              </w:rPr>
              <w:instrText xml:space="preserve"> PAGEREF _Toc109812391 \h </w:instrText>
            </w:r>
            <w:r w:rsidR="00F16E62">
              <w:rPr>
                <w:noProof/>
                <w:webHidden/>
              </w:rPr>
            </w:r>
            <w:r w:rsidR="00F16E62">
              <w:rPr>
                <w:noProof/>
                <w:webHidden/>
              </w:rPr>
              <w:fldChar w:fldCharType="separate"/>
            </w:r>
            <w:r w:rsidR="00F16E62">
              <w:rPr>
                <w:noProof/>
                <w:webHidden/>
              </w:rPr>
              <w:t>16</w:t>
            </w:r>
            <w:r w:rsidR="00F16E62">
              <w:rPr>
                <w:noProof/>
                <w:webHidden/>
              </w:rPr>
              <w:fldChar w:fldCharType="end"/>
            </w:r>
          </w:hyperlink>
        </w:p>
        <w:p w14:paraId="4F5E3147" w14:textId="45B27450" w:rsidR="00F16E62" w:rsidRDefault="00161F7F">
          <w:pPr>
            <w:pStyle w:val="TOC2"/>
            <w:rPr>
              <w:rFonts w:asciiTheme="minorHAnsi" w:hAnsiTheme="minorHAnsi" w:cstheme="minorBidi"/>
              <w:noProof/>
              <w:lang w:val="en-ZA" w:eastAsia="en-ZA"/>
            </w:rPr>
          </w:pPr>
          <w:hyperlink w:anchor="_Toc109812392" w:history="1">
            <w:r w:rsidR="00F16E62" w:rsidRPr="00932F8D">
              <w:rPr>
                <w:rStyle w:val="Hyperlink"/>
                <w:noProof/>
              </w:rPr>
              <w:t>2.11.</w:t>
            </w:r>
            <w:r w:rsidR="00F16E62">
              <w:rPr>
                <w:rFonts w:asciiTheme="minorHAnsi" w:hAnsiTheme="minorHAnsi" w:cstheme="minorBidi"/>
                <w:noProof/>
                <w:lang w:val="en-ZA" w:eastAsia="en-ZA"/>
              </w:rPr>
              <w:tab/>
            </w:r>
            <w:r w:rsidR="00F16E62" w:rsidRPr="00932F8D">
              <w:rPr>
                <w:rStyle w:val="Hyperlink"/>
                <w:noProof/>
                <w:lang w:val="en-ZA"/>
              </w:rPr>
              <w:t>I am a consultant and am failing to “</w:t>
            </w:r>
            <w:r w:rsidR="00F16E62" w:rsidRPr="00932F8D">
              <w:rPr>
                <w:rStyle w:val="Hyperlink"/>
                <w:noProof/>
              </w:rPr>
              <w:t>Register New Data Provider” for my client</w:t>
            </w:r>
            <w:r w:rsidR="00F16E62">
              <w:rPr>
                <w:noProof/>
                <w:webHidden/>
              </w:rPr>
              <w:tab/>
            </w:r>
            <w:r w:rsidR="00F16E62">
              <w:rPr>
                <w:noProof/>
                <w:webHidden/>
              </w:rPr>
              <w:fldChar w:fldCharType="begin"/>
            </w:r>
            <w:r w:rsidR="00F16E62">
              <w:rPr>
                <w:noProof/>
                <w:webHidden/>
              </w:rPr>
              <w:instrText xml:space="preserve"> PAGEREF _Toc109812392 \h </w:instrText>
            </w:r>
            <w:r w:rsidR="00F16E62">
              <w:rPr>
                <w:noProof/>
                <w:webHidden/>
              </w:rPr>
            </w:r>
            <w:r w:rsidR="00F16E62">
              <w:rPr>
                <w:noProof/>
                <w:webHidden/>
              </w:rPr>
              <w:fldChar w:fldCharType="separate"/>
            </w:r>
            <w:r w:rsidR="00F16E62">
              <w:rPr>
                <w:noProof/>
                <w:webHidden/>
              </w:rPr>
              <w:t>17</w:t>
            </w:r>
            <w:r w:rsidR="00F16E62">
              <w:rPr>
                <w:noProof/>
                <w:webHidden/>
              </w:rPr>
              <w:fldChar w:fldCharType="end"/>
            </w:r>
          </w:hyperlink>
        </w:p>
        <w:p w14:paraId="6B9551E6" w14:textId="442AB851" w:rsidR="00F16E62" w:rsidRDefault="00161F7F">
          <w:pPr>
            <w:pStyle w:val="TOC2"/>
            <w:rPr>
              <w:rFonts w:asciiTheme="minorHAnsi" w:hAnsiTheme="minorHAnsi" w:cstheme="minorBidi"/>
              <w:noProof/>
              <w:lang w:val="en-ZA" w:eastAsia="en-ZA"/>
            </w:rPr>
          </w:pPr>
          <w:hyperlink w:anchor="_Toc109812393" w:history="1">
            <w:r w:rsidR="00F16E62" w:rsidRPr="00932F8D">
              <w:rPr>
                <w:rStyle w:val="Hyperlink"/>
                <w:noProof/>
              </w:rPr>
              <w:t>2.12.</w:t>
            </w:r>
            <w:r w:rsidR="00F16E62">
              <w:rPr>
                <w:rFonts w:asciiTheme="minorHAnsi" w:hAnsiTheme="minorHAnsi" w:cstheme="minorBidi"/>
                <w:noProof/>
                <w:lang w:val="en-ZA" w:eastAsia="en-ZA"/>
              </w:rPr>
              <w:tab/>
            </w:r>
            <w:r w:rsidR="00F16E62" w:rsidRPr="00932F8D">
              <w:rPr>
                <w:rStyle w:val="Hyperlink"/>
                <w:noProof/>
              </w:rPr>
              <w:t>I just created a new account in SAGERS, but am failing to associate the consultant</w:t>
            </w:r>
            <w:r w:rsidR="00F16E62">
              <w:rPr>
                <w:noProof/>
                <w:webHidden/>
              </w:rPr>
              <w:tab/>
            </w:r>
            <w:r w:rsidR="00F16E62">
              <w:rPr>
                <w:noProof/>
                <w:webHidden/>
              </w:rPr>
              <w:fldChar w:fldCharType="begin"/>
            </w:r>
            <w:r w:rsidR="00F16E62">
              <w:rPr>
                <w:noProof/>
                <w:webHidden/>
              </w:rPr>
              <w:instrText xml:space="preserve"> PAGEREF _Toc109812393 \h </w:instrText>
            </w:r>
            <w:r w:rsidR="00F16E62">
              <w:rPr>
                <w:noProof/>
                <w:webHidden/>
              </w:rPr>
            </w:r>
            <w:r w:rsidR="00F16E62">
              <w:rPr>
                <w:noProof/>
                <w:webHidden/>
              </w:rPr>
              <w:fldChar w:fldCharType="separate"/>
            </w:r>
            <w:r w:rsidR="00F16E62">
              <w:rPr>
                <w:noProof/>
                <w:webHidden/>
              </w:rPr>
              <w:t>17</w:t>
            </w:r>
            <w:r w:rsidR="00F16E62">
              <w:rPr>
                <w:noProof/>
                <w:webHidden/>
              </w:rPr>
              <w:fldChar w:fldCharType="end"/>
            </w:r>
          </w:hyperlink>
        </w:p>
        <w:p w14:paraId="5A73CDFA" w14:textId="25B540AC" w:rsidR="00F16E62" w:rsidRDefault="00161F7F">
          <w:pPr>
            <w:pStyle w:val="TOC2"/>
            <w:rPr>
              <w:rFonts w:asciiTheme="minorHAnsi" w:hAnsiTheme="minorHAnsi" w:cstheme="minorBidi"/>
              <w:noProof/>
              <w:lang w:val="en-ZA" w:eastAsia="en-ZA"/>
            </w:rPr>
          </w:pPr>
          <w:hyperlink w:anchor="_Toc109812394" w:history="1">
            <w:r w:rsidR="00F16E62" w:rsidRPr="00932F8D">
              <w:rPr>
                <w:rStyle w:val="Hyperlink"/>
                <w:noProof/>
              </w:rPr>
              <w:t>2.13.</w:t>
            </w:r>
            <w:r w:rsidR="00F16E62">
              <w:rPr>
                <w:rFonts w:asciiTheme="minorHAnsi" w:hAnsiTheme="minorHAnsi" w:cstheme="minorBidi"/>
                <w:noProof/>
                <w:lang w:val="en-ZA" w:eastAsia="en-ZA"/>
              </w:rPr>
              <w:tab/>
            </w:r>
            <w:r w:rsidR="00F16E62" w:rsidRPr="00932F8D">
              <w:rPr>
                <w:rStyle w:val="Hyperlink"/>
                <w:noProof/>
              </w:rPr>
              <w:t>I have submitted my registration form on SAGERS and would like to revise it, how do I modify my submission?</w:t>
            </w:r>
            <w:r w:rsidR="00F16E62">
              <w:rPr>
                <w:noProof/>
                <w:webHidden/>
              </w:rPr>
              <w:tab/>
            </w:r>
            <w:r w:rsidR="00F16E62">
              <w:rPr>
                <w:noProof/>
                <w:webHidden/>
              </w:rPr>
              <w:fldChar w:fldCharType="begin"/>
            </w:r>
            <w:r w:rsidR="00F16E62">
              <w:rPr>
                <w:noProof/>
                <w:webHidden/>
              </w:rPr>
              <w:instrText xml:space="preserve"> PAGEREF _Toc109812394 \h </w:instrText>
            </w:r>
            <w:r w:rsidR="00F16E62">
              <w:rPr>
                <w:noProof/>
                <w:webHidden/>
              </w:rPr>
            </w:r>
            <w:r w:rsidR="00F16E62">
              <w:rPr>
                <w:noProof/>
                <w:webHidden/>
              </w:rPr>
              <w:fldChar w:fldCharType="separate"/>
            </w:r>
            <w:r w:rsidR="00F16E62">
              <w:rPr>
                <w:noProof/>
                <w:webHidden/>
              </w:rPr>
              <w:t>17</w:t>
            </w:r>
            <w:r w:rsidR="00F16E62">
              <w:rPr>
                <w:noProof/>
                <w:webHidden/>
              </w:rPr>
              <w:fldChar w:fldCharType="end"/>
            </w:r>
          </w:hyperlink>
        </w:p>
        <w:p w14:paraId="27B1DF8A" w14:textId="7FEA5FD3" w:rsidR="00F16E62" w:rsidRDefault="00161F7F">
          <w:pPr>
            <w:pStyle w:val="TOC3"/>
            <w:tabs>
              <w:tab w:val="left" w:pos="1320"/>
              <w:tab w:val="right" w:leader="dot" w:pos="8273"/>
            </w:tabs>
            <w:rPr>
              <w:rFonts w:asciiTheme="minorHAnsi" w:hAnsiTheme="minorHAnsi" w:cstheme="minorBidi"/>
              <w:noProof/>
              <w:lang w:val="en-ZA" w:eastAsia="en-ZA"/>
            </w:rPr>
          </w:pPr>
          <w:hyperlink w:anchor="_Toc109812395" w:history="1">
            <w:r w:rsidR="00F16E62" w:rsidRPr="00932F8D">
              <w:rPr>
                <w:rStyle w:val="Hyperlink"/>
                <w:noProof/>
              </w:rPr>
              <w:t>2.13.1.</w:t>
            </w:r>
            <w:r w:rsidR="00F16E62">
              <w:rPr>
                <w:rFonts w:asciiTheme="minorHAnsi" w:hAnsiTheme="minorHAnsi" w:cstheme="minorBidi"/>
                <w:noProof/>
                <w:lang w:val="en-ZA" w:eastAsia="en-ZA"/>
              </w:rPr>
              <w:tab/>
            </w:r>
            <w:r w:rsidR="00F16E62" w:rsidRPr="00932F8D">
              <w:rPr>
                <w:rStyle w:val="Hyperlink"/>
                <w:noProof/>
              </w:rPr>
              <w:t>If the submission has not been approved by the authority, the ACO can request a revision/withdrawal by following the steps below:</w:t>
            </w:r>
            <w:r w:rsidR="00F16E62">
              <w:rPr>
                <w:noProof/>
                <w:webHidden/>
              </w:rPr>
              <w:tab/>
            </w:r>
            <w:r w:rsidR="00F16E62">
              <w:rPr>
                <w:noProof/>
                <w:webHidden/>
              </w:rPr>
              <w:fldChar w:fldCharType="begin"/>
            </w:r>
            <w:r w:rsidR="00F16E62">
              <w:rPr>
                <w:noProof/>
                <w:webHidden/>
              </w:rPr>
              <w:instrText xml:space="preserve"> PAGEREF _Toc109812395 \h </w:instrText>
            </w:r>
            <w:r w:rsidR="00F16E62">
              <w:rPr>
                <w:noProof/>
                <w:webHidden/>
              </w:rPr>
            </w:r>
            <w:r w:rsidR="00F16E62">
              <w:rPr>
                <w:noProof/>
                <w:webHidden/>
              </w:rPr>
              <w:fldChar w:fldCharType="separate"/>
            </w:r>
            <w:r w:rsidR="00F16E62">
              <w:rPr>
                <w:noProof/>
                <w:webHidden/>
              </w:rPr>
              <w:t>17</w:t>
            </w:r>
            <w:r w:rsidR="00F16E62">
              <w:rPr>
                <w:noProof/>
                <w:webHidden/>
              </w:rPr>
              <w:fldChar w:fldCharType="end"/>
            </w:r>
          </w:hyperlink>
        </w:p>
        <w:p w14:paraId="6DD9844D" w14:textId="7F007024" w:rsidR="00F16E62" w:rsidRDefault="00161F7F">
          <w:pPr>
            <w:pStyle w:val="TOC3"/>
            <w:tabs>
              <w:tab w:val="left" w:pos="1320"/>
              <w:tab w:val="right" w:leader="dot" w:pos="8273"/>
            </w:tabs>
            <w:rPr>
              <w:rFonts w:asciiTheme="minorHAnsi" w:hAnsiTheme="minorHAnsi" w:cstheme="minorBidi"/>
              <w:noProof/>
              <w:lang w:val="en-ZA" w:eastAsia="en-ZA"/>
            </w:rPr>
          </w:pPr>
          <w:hyperlink w:anchor="_Toc109812396" w:history="1">
            <w:r w:rsidR="00F16E62" w:rsidRPr="00932F8D">
              <w:rPr>
                <w:rStyle w:val="Hyperlink"/>
                <w:noProof/>
              </w:rPr>
              <w:t>2.13.2.</w:t>
            </w:r>
            <w:r w:rsidR="00F16E62">
              <w:rPr>
                <w:rFonts w:asciiTheme="minorHAnsi" w:hAnsiTheme="minorHAnsi" w:cstheme="minorBidi"/>
                <w:noProof/>
                <w:lang w:val="en-ZA" w:eastAsia="en-ZA"/>
              </w:rPr>
              <w:tab/>
            </w:r>
            <w:r w:rsidR="00F16E62" w:rsidRPr="00932F8D">
              <w:rPr>
                <w:rStyle w:val="Hyperlink"/>
                <w:noProof/>
              </w:rPr>
              <w:t>If the submission has been approved by the authority, the ACO can submit a modification form by following the steps below:</w:t>
            </w:r>
            <w:r w:rsidR="00F16E62">
              <w:rPr>
                <w:noProof/>
                <w:webHidden/>
              </w:rPr>
              <w:tab/>
            </w:r>
            <w:r w:rsidR="00F16E62">
              <w:rPr>
                <w:noProof/>
                <w:webHidden/>
              </w:rPr>
              <w:fldChar w:fldCharType="begin"/>
            </w:r>
            <w:r w:rsidR="00F16E62">
              <w:rPr>
                <w:noProof/>
                <w:webHidden/>
              </w:rPr>
              <w:instrText xml:space="preserve"> PAGEREF _Toc109812396 \h </w:instrText>
            </w:r>
            <w:r w:rsidR="00F16E62">
              <w:rPr>
                <w:noProof/>
                <w:webHidden/>
              </w:rPr>
            </w:r>
            <w:r w:rsidR="00F16E62">
              <w:rPr>
                <w:noProof/>
                <w:webHidden/>
              </w:rPr>
              <w:fldChar w:fldCharType="separate"/>
            </w:r>
            <w:r w:rsidR="00F16E62">
              <w:rPr>
                <w:noProof/>
                <w:webHidden/>
              </w:rPr>
              <w:t>19</w:t>
            </w:r>
            <w:r w:rsidR="00F16E62">
              <w:rPr>
                <w:noProof/>
                <w:webHidden/>
              </w:rPr>
              <w:fldChar w:fldCharType="end"/>
            </w:r>
          </w:hyperlink>
        </w:p>
        <w:p w14:paraId="4CB56FA3" w14:textId="1FC80A62" w:rsidR="00F16E62" w:rsidRDefault="00161F7F">
          <w:pPr>
            <w:pStyle w:val="TOC2"/>
            <w:rPr>
              <w:rFonts w:asciiTheme="minorHAnsi" w:hAnsiTheme="minorHAnsi" w:cstheme="minorBidi"/>
              <w:noProof/>
              <w:lang w:val="en-ZA" w:eastAsia="en-ZA"/>
            </w:rPr>
          </w:pPr>
          <w:hyperlink w:anchor="_Toc109812397" w:history="1">
            <w:r w:rsidR="00F16E62" w:rsidRPr="00932F8D">
              <w:rPr>
                <w:rStyle w:val="Hyperlink"/>
                <w:noProof/>
              </w:rPr>
              <w:t>2.14.</w:t>
            </w:r>
            <w:r w:rsidR="00F16E62">
              <w:rPr>
                <w:rFonts w:asciiTheme="minorHAnsi" w:hAnsiTheme="minorHAnsi" w:cstheme="minorBidi"/>
                <w:noProof/>
                <w:lang w:val="en-ZA" w:eastAsia="en-ZA"/>
              </w:rPr>
              <w:tab/>
            </w:r>
            <w:r w:rsidR="00F16E62" w:rsidRPr="00932F8D">
              <w:rPr>
                <w:rStyle w:val="Hyperlink"/>
                <w:noProof/>
              </w:rPr>
              <w:t>I just registered on SAGERS and did not receive a data provider ID?</w:t>
            </w:r>
            <w:r w:rsidR="00F16E62">
              <w:rPr>
                <w:noProof/>
                <w:webHidden/>
              </w:rPr>
              <w:tab/>
            </w:r>
            <w:r w:rsidR="00F16E62">
              <w:rPr>
                <w:noProof/>
                <w:webHidden/>
              </w:rPr>
              <w:fldChar w:fldCharType="begin"/>
            </w:r>
            <w:r w:rsidR="00F16E62">
              <w:rPr>
                <w:noProof/>
                <w:webHidden/>
              </w:rPr>
              <w:instrText xml:space="preserve"> PAGEREF _Toc109812397 \h </w:instrText>
            </w:r>
            <w:r w:rsidR="00F16E62">
              <w:rPr>
                <w:noProof/>
                <w:webHidden/>
              </w:rPr>
            </w:r>
            <w:r w:rsidR="00F16E62">
              <w:rPr>
                <w:noProof/>
                <w:webHidden/>
              </w:rPr>
              <w:fldChar w:fldCharType="separate"/>
            </w:r>
            <w:r w:rsidR="00F16E62">
              <w:rPr>
                <w:noProof/>
                <w:webHidden/>
              </w:rPr>
              <w:t>22</w:t>
            </w:r>
            <w:r w:rsidR="00F16E62">
              <w:rPr>
                <w:noProof/>
                <w:webHidden/>
              </w:rPr>
              <w:fldChar w:fldCharType="end"/>
            </w:r>
          </w:hyperlink>
        </w:p>
        <w:p w14:paraId="6788AF2E" w14:textId="22872B84" w:rsidR="00F16E62" w:rsidRDefault="00161F7F">
          <w:pPr>
            <w:pStyle w:val="TOC2"/>
            <w:rPr>
              <w:rFonts w:asciiTheme="minorHAnsi" w:hAnsiTheme="minorHAnsi" w:cstheme="minorBidi"/>
              <w:noProof/>
              <w:lang w:val="en-ZA" w:eastAsia="en-ZA"/>
            </w:rPr>
          </w:pPr>
          <w:hyperlink w:anchor="_Toc109812398" w:history="1">
            <w:r w:rsidR="00F16E62" w:rsidRPr="00932F8D">
              <w:rPr>
                <w:rStyle w:val="Hyperlink"/>
                <w:noProof/>
              </w:rPr>
              <w:t>2.15.</w:t>
            </w:r>
            <w:r w:rsidR="00F16E62">
              <w:rPr>
                <w:rFonts w:asciiTheme="minorHAnsi" w:hAnsiTheme="minorHAnsi" w:cstheme="minorBidi"/>
                <w:noProof/>
                <w:lang w:val="en-ZA" w:eastAsia="en-ZA"/>
              </w:rPr>
              <w:tab/>
            </w:r>
            <w:r w:rsidR="00F16E62" w:rsidRPr="00932F8D">
              <w:rPr>
                <w:rStyle w:val="Hyperlink"/>
                <w:noProof/>
              </w:rPr>
              <w:t>If a facility that has registered on SAGERS, ceases operations what are the steps that need to be followed to de-register on the system? Are there any additional notifications that need to be made?</w:t>
            </w:r>
            <w:r w:rsidR="00F16E62">
              <w:rPr>
                <w:noProof/>
                <w:webHidden/>
              </w:rPr>
              <w:tab/>
            </w:r>
            <w:r w:rsidR="00F16E62">
              <w:rPr>
                <w:noProof/>
                <w:webHidden/>
              </w:rPr>
              <w:fldChar w:fldCharType="begin"/>
            </w:r>
            <w:r w:rsidR="00F16E62">
              <w:rPr>
                <w:noProof/>
                <w:webHidden/>
              </w:rPr>
              <w:instrText xml:space="preserve"> PAGEREF _Toc109812398 \h </w:instrText>
            </w:r>
            <w:r w:rsidR="00F16E62">
              <w:rPr>
                <w:noProof/>
                <w:webHidden/>
              </w:rPr>
            </w:r>
            <w:r w:rsidR="00F16E62">
              <w:rPr>
                <w:noProof/>
                <w:webHidden/>
              </w:rPr>
              <w:fldChar w:fldCharType="separate"/>
            </w:r>
            <w:r w:rsidR="00F16E62">
              <w:rPr>
                <w:noProof/>
                <w:webHidden/>
              </w:rPr>
              <w:t>22</w:t>
            </w:r>
            <w:r w:rsidR="00F16E62">
              <w:rPr>
                <w:noProof/>
                <w:webHidden/>
              </w:rPr>
              <w:fldChar w:fldCharType="end"/>
            </w:r>
          </w:hyperlink>
        </w:p>
        <w:p w14:paraId="01B5784B" w14:textId="77056B46" w:rsidR="00F16E62" w:rsidRDefault="00161F7F">
          <w:pPr>
            <w:pStyle w:val="TOC2"/>
            <w:rPr>
              <w:rFonts w:asciiTheme="minorHAnsi" w:hAnsiTheme="minorHAnsi" w:cstheme="minorBidi"/>
              <w:noProof/>
              <w:lang w:val="en-ZA" w:eastAsia="en-ZA"/>
            </w:rPr>
          </w:pPr>
          <w:hyperlink w:anchor="_Toc109812399" w:history="1">
            <w:r w:rsidR="00F16E62" w:rsidRPr="00932F8D">
              <w:rPr>
                <w:rStyle w:val="Hyperlink"/>
                <w:noProof/>
              </w:rPr>
              <w:t>2.16.</w:t>
            </w:r>
            <w:r w:rsidR="00F16E62">
              <w:rPr>
                <w:rFonts w:asciiTheme="minorHAnsi" w:hAnsiTheme="minorHAnsi" w:cstheme="minorBidi"/>
                <w:noProof/>
                <w:lang w:val="en-ZA" w:eastAsia="en-ZA"/>
              </w:rPr>
              <w:tab/>
            </w:r>
            <w:r w:rsidR="00F16E62" w:rsidRPr="00932F8D">
              <w:rPr>
                <w:rStyle w:val="Hyperlink"/>
                <w:noProof/>
              </w:rPr>
              <w:t>What is the different between submittal ID and Data provider ID?</w:t>
            </w:r>
            <w:r w:rsidR="00F16E62">
              <w:rPr>
                <w:noProof/>
                <w:webHidden/>
              </w:rPr>
              <w:tab/>
            </w:r>
            <w:r w:rsidR="00F16E62">
              <w:rPr>
                <w:noProof/>
                <w:webHidden/>
              </w:rPr>
              <w:fldChar w:fldCharType="begin"/>
            </w:r>
            <w:r w:rsidR="00F16E62">
              <w:rPr>
                <w:noProof/>
                <w:webHidden/>
              </w:rPr>
              <w:instrText xml:space="preserve"> PAGEREF _Toc109812399 \h </w:instrText>
            </w:r>
            <w:r w:rsidR="00F16E62">
              <w:rPr>
                <w:noProof/>
                <w:webHidden/>
              </w:rPr>
            </w:r>
            <w:r w:rsidR="00F16E62">
              <w:rPr>
                <w:noProof/>
                <w:webHidden/>
              </w:rPr>
              <w:fldChar w:fldCharType="separate"/>
            </w:r>
            <w:r w:rsidR="00F16E62">
              <w:rPr>
                <w:noProof/>
                <w:webHidden/>
              </w:rPr>
              <w:t>25</w:t>
            </w:r>
            <w:r w:rsidR="00F16E62">
              <w:rPr>
                <w:noProof/>
                <w:webHidden/>
              </w:rPr>
              <w:fldChar w:fldCharType="end"/>
            </w:r>
          </w:hyperlink>
        </w:p>
        <w:p w14:paraId="29D47D09" w14:textId="3DD0B671" w:rsidR="00F16E62" w:rsidRDefault="00161F7F">
          <w:pPr>
            <w:pStyle w:val="TOC2"/>
            <w:rPr>
              <w:rFonts w:asciiTheme="minorHAnsi" w:hAnsiTheme="minorHAnsi" w:cstheme="minorBidi"/>
              <w:noProof/>
              <w:lang w:val="en-ZA" w:eastAsia="en-ZA"/>
            </w:rPr>
          </w:pPr>
          <w:hyperlink w:anchor="_Toc109812400" w:history="1">
            <w:r w:rsidR="00F16E62" w:rsidRPr="00932F8D">
              <w:rPr>
                <w:rStyle w:val="Hyperlink"/>
                <w:noProof/>
              </w:rPr>
              <w:t>2.17.</w:t>
            </w:r>
            <w:r w:rsidR="00F16E62">
              <w:rPr>
                <w:rFonts w:asciiTheme="minorHAnsi" w:hAnsiTheme="minorHAnsi" w:cstheme="minorBidi"/>
                <w:noProof/>
                <w:lang w:val="en-ZA" w:eastAsia="en-ZA"/>
              </w:rPr>
              <w:tab/>
            </w:r>
            <w:r w:rsidR="00F16E62" w:rsidRPr="00932F8D">
              <w:rPr>
                <w:rStyle w:val="Hyperlink"/>
                <w:noProof/>
              </w:rPr>
              <w:t>When I do the review step on the SAGERS – the data provider info is stated as missing and attachment flagged, what is required in the Attachment step?</w:t>
            </w:r>
            <w:r w:rsidR="00F16E62">
              <w:rPr>
                <w:noProof/>
                <w:webHidden/>
              </w:rPr>
              <w:tab/>
            </w:r>
            <w:r w:rsidR="00F16E62">
              <w:rPr>
                <w:noProof/>
                <w:webHidden/>
              </w:rPr>
              <w:fldChar w:fldCharType="begin"/>
            </w:r>
            <w:r w:rsidR="00F16E62">
              <w:rPr>
                <w:noProof/>
                <w:webHidden/>
              </w:rPr>
              <w:instrText xml:space="preserve"> PAGEREF _Toc109812400 \h </w:instrText>
            </w:r>
            <w:r w:rsidR="00F16E62">
              <w:rPr>
                <w:noProof/>
                <w:webHidden/>
              </w:rPr>
            </w:r>
            <w:r w:rsidR="00F16E62">
              <w:rPr>
                <w:noProof/>
                <w:webHidden/>
              </w:rPr>
              <w:fldChar w:fldCharType="separate"/>
            </w:r>
            <w:r w:rsidR="00F16E62">
              <w:rPr>
                <w:noProof/>
                <w:webHidden/>
              </w:rPr>
              <w:t>25</w:t>
            </w:r>
            <w:r w:rsidR="00F16E62">
              <w:rPr>
                <w:noProof/>
                <w:webHidden/>
              </w:rPr>
              <w:fldChar w:fldCharType="end"/>
            </w:r>
          </w:hyperlink>
        </w:p>
        <w:p w14:paraId="57CD870E" w14:textId="2DB466B1" w:rsidR="00F16E62" w:rsidRDefault="00161F7F">
          <w:pPr>
            <w:pStyle w:val="TOC2"/>
            <w:rPr>
              <w:rFonts w:asciiTheme="minorHAnsi" w:hAnsiTheme="minorHAnsi" w:cstheme="minorBidi"/>
              <w:noProof/>
              <w:lang w:val="en-ZA" w:eastAsia="en-ZA"/>
            </w:rPr>
          </w:pPr>
          <w:hyperlink w:anchor="_Toc109812401" w:history="1">
            <w:r w:rsidR="00F16E62" w:rsidRPr="00932F8D">
              <w:rPr>
                <w:rStyle w:val="Hyperlink"/>
                <w:noProof/>
              </w:rPr>
              <w:t>2.18.</w:t>
            </w:r>
            <w:r w:rsidR="00F16E62">
              <w:rPr>
                <w:rFonts w:asciiTheme="minorHAnsi" w:hAnsiTheme="minorHAnsi" w:cstheme="minorBidi"/>
                <w:noProof/>
                <w:lang w:val="en-ZA" w:eastAsia="en-ZA"/>
              </w:rPr>
              <w:tab/>
            </w:r>
            <w:r w:rsidR="00F16E62" w:rsidRPr="00932F8D">
              <w:rPr>
                <w:rStyle w:val="Hyperlink"/>
                <w:noProof/>
              </w:rPr>
              <w:t>How do I access proof of submittal?</w:t>
            </w:r>
            <w:r w:rsidR="00F16E62">
              <w:rPr>
                <w:noProof/>
                <w:webHidden/>
              </w:rPr>
              <w:tab/>
            </w:r>
            <w:r w:rsidR="00F16E62">
              <w:rPr>
                <w:noProof/>
                <w:webHidden/>
              </w:rPr>
              <w:fldChar w:fldCharType="begin"/>
            </w:r>
            <w:r w:rsidR="00F16E62">
              <w:rPr>
                <w:noProof/>
                <w:webHidden/>
              </w:rPr>
              <w:instrText xml:space="preserve"> PAGEREF _Toc109812401 \h </w:instrText>
            </w:r>
            <w:r w:rsidR="00F16E62">
              <w:rPr>
                <w:noProof/>
                <w:webHidden/>
              </w:rPr>
            </w:r>
            <w:r w:rsidR="00F16E62">
              <w:rPr>
                <w:noProof/>
                <w:webHidden/>
              </w:rPr>
              <w:fldChar w:fldCharType="separate"/>
            </w:r>
            <w:r w:rsidR="00F16E62">
              <w:rPr>
                <w:noProof/>
                <w:webHidden/>
              </w:rPr>
              <w:t>25</w:t>
            </w:r>
            <w:r w:rsidR="00F16E62">
              <w:rPr>
                <w:noProof/>
                <w:webHidden/>
              </w:rPr>
              <w:fldChar w:fldCharType="end"/>
            </w:r>
          </w:hyperlink>
        </w:p>
        <w:p w14:paraId="02C30B31" w14:textId="3704405F" w:rsidR="00F16E62" w:rsidRDefault="00161F7F">
          <w:pPr>
            <w:pStyle w:val="TOC2"/>
            <w:rPr>
              <w:rFonts w:asciiTheme="minorHAnsi" w:hAnsiTheme="minorHAnsi" w:cstheme="minorBidi"/>
              <w:noProof/>
              <w:lang w:val="en-ZA" w:eastAsia="en-ZA"/>
            </w:rPr>
          </w:pPr>
          <w:hyperlink w:anchor="_Toc109812402" w:history="1">
            <w:r w:rsidR="00F16E62" w:rsidRPr="00932F8D">
              <w:rPr>
                <w:rStyle w:val="Hyperlink"/>
                <w:noProof/>
              </w:rPr>
              <w:t>2.19.</w:t>
            </w:r>
            <w:r w:rsidR="00F16E62">
              <w:rPr>
                <w:rFonts w:asciiTheme="minorHAnsi" w:hAnsiTheme="minorHAnsi" w:cstheme="minorBidi"/>
                <w:noProof/>
                <w:lang w:val="en-ZA" w:eastAsia="en-ZA"/>
              </w:rPr>
              <w:tab/>
            </w:r>
            <w:r w:rsidR="00F16E62" w:rsidRPr="00932F8D">
              <w:rPr>
                <w:rStyle w:val="Hyperlink"/>
                <w:noProof/>
              </w:rPr>
              <w:t>How do I access GHG Reporting/ Registration Acceptance letters?</w:t>
            </w:r>
            <w:r w:rsidR="00F16E62">
              <w:rPr>
                <w:noProof/>
                <w:webHidden/>
              </w:rPr>
              <w:tab/>
            </w:r>
            <w:r w:rsidR="00F16E62">
              <w:rPr>
                <w:noProof/>
                <w:webHidden/>
              </w:rPr>
              <w:fldChar w:fldCharType="begin"/>
            </w:r>
            <w:r w:rsidR="00F16E62">
              <w:rPr>
                <w:noProof/>
                <w:webHidden/>
              </w:rPr>
              <w:instrText xml:space="preserve"> PAGEREF _Toc109812402 \h </w:instrText>
            </w:r>
            <w:r w:rsidR="00F16E62">
              <w:rPr>
                <w:noProof/>
                <w:webHidden/>
              </w:rPr>
            </w:r>
            <w:r w:rsidR="00F16E62">
              <w:rPr>
                <w:noProof/>
                <w:webHidden/>
              </w:rPr>
              <w:fldChar w:fldCharType="separate"/>
            </w:r>
            <w:r w:rsidR="00F16E62">
              <w:rPr>
                <w:noProof/>
                <w:webHidden/>
              </w:rPr>
              <w:t>28</w:t>
            </w:r>
            <w:r w:rsidR="00F16E62">
              <w:rPr>
                <w:noProof/>
                <w:webHidden/>
              </w:rPr>
              <w:fldChar w:fldCharType="end"/>
            </w:r>
          </w:hyperlink>
        </w:p>
        <w:p w14:paraId="0F9107E2" w14:textId="59936D07" w:rsidR="00F16E62" w:rsidRDefault="00161F7F">
          <w:pPr>
            <w:pStyle w:val="TOC2"/>
            <w:rPr>
              <w:rFonts w:asciiTheme="minorHAnsi" w:hAnsiTheme="minorHAnsi" w:cstheme="minorBidi"/>
              <w:noProof/>
              <w:lang w:val="en-ZA" w:eastAsia="en-ZA"/>
            </w:rPr>
          </w:pPr>
          <w:hyperlink w:anchor="_Toc109812403" w:history="1">
            <w:r w:rsidR="00F16E62" w:rsidRPr="00932F8D">
              <w:rPr>
                <w:rStyle w:val="Hyperlink"/>
                <w:noProof/>
              </w:rPr>
              <w:t>2.20.</w:t>
            </w:r>
            <w:r w:rsidR="00F16E62">
              <w:rPr>
                <w:rFonts w:asciiTheme="minorHAnsi" w:hAnsiTheme="minorHAnsi" w:cstheme="minorBidi"/>
                <w:noProof/>
                <w:lang w:val="en-ZA" w:eastAsia="en-ZA"/>
              </w:rPr>
              <w:tab/>
            </w:r>
            <w:r w:rsidR="00F16E62" w:rsidRPr="00932F8D">
              <w:rPr>
                <w:rStyle w:val="Hyperlink"/>
                <w:noProof/>
              </w:rPr>
              <w:t>I am struggling with finalizing the Registration, I get an error message “server error in ’/ Ensuitutil.web’. application.</w:t>
            </w:r>
            <w:r w:rsidR="00F16E62">
              <w:rPr>
                <w:noProof/>
                <w:webHidden/>
              </w:rPr>
              <w:tab/>
            </w:r>
            <w:r w:rsidR="00F16E62">
              <w:rPr>
                <w:noProof/>
                <w:webHidden/>
              </w:rPr>
              <w:fldChar w:fldCharType="begin"/>
            </w:r>
            <w:r w:rsidR="00F16E62">
              <w:rPr>
                <w:noProof/>
                <w:webHidden/>
              </w:rPr>
              <w:instrText xml:space="preserve"> PAGEREF _Toc109812403 \h </w:instrText>
            </w:r>
            <w:r w:rsidR="00F16E62">
              <w:rPr>
                <w:noProof/>
                <w:webHidden/>
              </w:rPr>
            </w:r>
            <w:r w:rsidR="00F16E62">
              <w:rPr>
                <w:noProof/>
                <w:webHidden/>
              </w:rPr>
              <w:fldChar w:fldCharType="separate"/>
            </w:r>
            <w:r w:rsidR="00F16E62">
              <w:rPr>
                <w:noProof/>
                <w:webHidden/>
              </w:rPr>
              <w:t>31</w:t>
            </w:r>
            <w:r w:rsidR="00F16E62">
              <w:rPr>
                <w:noProof/>
                <w:webHidden/>
              </w:rPr>
              <w:fldChar w:fldCharType="end"/>
            </w:r>
          </w:hyperlink>
        </w:p>
        <w:p w14:paraId="49E81B9B" w14:textId="077F2963" w:rsidR="00F16E62" w:rsidRDefault="00161F7F">
          <w:pPr>
            <w:pStyle w:val="TOC2"/>
            <w:rPr>
              <w:rFonts w:asciiTheme="minorHAnsi" w:hAnsiTheme="minorHAnsi" w:cstheme="minorBidi"/>
              <w:noProof/>
              <w:lang w:val="en-ZA" w:eastAsia="en-ZA"/>
            </w:rPr>
          </w:pPr>
          <w:hyperlink w:anchor="_Toc109812404" w:history="1">
            <w:r w:rsidR="00F16E62" w:rsidRPr="00932F8D">
              <w:rPr>
                <w:rStyle w:val="Hyperlink"/>
                <w:noProof/>
              </w:rPr>
              <w:t>2.21.</w:t>
            </w:r>
            <w:r w:rsidR="00F16E62">
              <w:rPr>
                <w:rFonts w:asciiTheme="minorHAnsi" w:hAnsiTheme="minorHAnsi" w:cstheme="minorBidi"/>
                <w:noProof/>
                <w:lang w:val="en-ZA" w:eastAsia="en-ZA"/>
              </w:rPr>
              <w:tab/>
            </w:r>
            <w:r w:rsidR="00F16E62" w:rsidRPr="00932F8D">
              <w:rPr>
                <w:rStyle w:val="Hyperlink"/>
                <w:noProof/>
              </w:rPr>
              <w:t>I am not sure which IPCC category my company triggers. What documents do I need to read and whom can I contact for assistance?</w:t>
            </w:r>
            <w:r w:rsidR="00F16E62">
              <w:rPr>
                <w:noProof/>
                <w:webHidden/>
              </w:rPr>
              <w:tab/>
            </w:r>
            <w:r w:rsidR="00F16E62">
              <w:rPr>
                <w:noProof/>
                <w:webHidden/>
              </w:rPr>
              <w:fldChar w:fldCharType="begin"/>
            </w:r>
            <w:r w:rsidR="00F16E62">
              <w:rPr>
                <w:noProof/>
                <w:webHidden/>
              </w:rPr>
              <w:instrText xml:space="preserve"> PAGEREF _Toc109812404 \h </w:instrText>
            </w:r>
            <w:r w:rsidR="00F16E62">
              <w:rPr>
                <w:noProof/>
                <w:webHidden/>
              </w:rPr>
            </w:r>
            <w:r w:rsidR="00F16E62">
              <w:rPr>
                <w:noProof/>
                <w:webHidden/>
              </w:rPr>
              <w:fldChar w:fldCharType="separate"/>
            </w:r>
            <w:r w:rsidR="00F16E62">
              <w:rPr>
                <w:noProof/>
                <w:webHidden/>
              </w:rPr>
              <w:t>31</w:t>
            </w:r>
            <w:r w:rsidR="00F16E62">
              <w:rPr>
                <w:noProof/>
                <w:webHidden/>
              </w:rPr>
              <w:fldChar w:fldCharType="end"/>
            </w:r>
          </w:hyperlink>
        </w:p>
        <w:p w14:paraId="6877E41F" w14:textId="499C8740" w:rsidR="00F16E62" w:rsidRDefault="00161F7F">
          <w:pPr>
            <w:pStyle w:val="TOC1"/>
            <w:rPr>
              <w:rFonts w:asciiTheme="minorHAnsi" w:eastAsiaTheme="minorEastAsia" w:hAnsiTheme="minorHAnsi"/>
              <w:b w:val="0"/>
              <w:lang w:val="en-ZA" w:eastAsia="en-ZA"/>
            </w:rPr>
          </w:pPr>
          <w:hyperlink w:anchor="_Toc109812405" w:history="1">
            <w:r w:rsidR="00F16E62" w:rsidRPr="00932F8D">
              <w:rPr>
                <w:rStyle w:val="Hyperlink"/>
              </w:rPr>
              <w:t>3. Application of Registration &amp; Reporting Thresholds</w:t>
            </w:r>
            <w:r w:rsidR="00F16E62">
              <w:rPr>
                <w:webHidden/>
              </w:rPr>
              <w:tab/>
            </w:r>
            <w:r w:rsidR="00F16E62">
              <w:rPr>
                <w:webHidden/>
              </w:rPr>
              <w:fldChar w:fldCharType="begin"/>
            </w:r>
            <w:r w:rsidR="00F16E62">
              <w:rPr>
                <w:webHidden/>
              </w:rPr>
              <w:instrText xml:space="preserve"> PAGEREF _Toc109812405 \h </w:instrText>
            </w:r>
            <w:r w:rsidR="00F16E62">
              <w:rPr>
                <w:webHidden/>
              </w:rPr>
            </w:r>
            <w:r w:rsidR="00F16E62">
              <w:rPr>
                <w:webHidden/>
              </w:rPr>
              <w:fldChar w:fldCharType="separate"/>
            </w:r>
            <w:r w:rsidR="00F16E62">
              <w:rPr>
                <w:webHidden/>
              </w:rPr>
              <w:t>32</w:t>
            </w:r>
            <w:r w:rsidR="00F16E62">
              <w:rPr>
                <w:webHidden/>
              </w:rPr>
              <w:fldChar w:fldCharType="end"/>
            </w:r>
          </w:hyperlink>
        </w:p>
        <w:p w14:paraId="5A7758CB" w14:textId="75417C44" w:rsidR="00F16E62" w:rsidRDefault="00161F7F">
          <w:pPr>
            <w:pStyle w:val="TOC2"/>
            <w:rPr>
              <w:rFonts w:asciiTheme="minorHAnsi" w:hAnsiTheme="minorHAnsi" w:cstheme="minorBidi"/>
              <w:noProof/>
              <w:lang w:val="en-ZA" w:eastAsia="en-ZA"/>
            </w:rPr>
          </w:pPr>
          <w:hyperlink w:anchor="_Toc109812407" w:history="1">
            <w:r w:rsidR="00F16E62" w:rsidRPr="00932F8D">
              <w:rPr>
                <w:rStyle w:val="Hyperlink"/>
                <w:noProof/>
              </w:rPr>
              <w:t>3.1.</w:t>
            </w:r>
            <w:r w:rsidR="00F16E62">
              <w:rPr>
                <w:rFonts w:asciiTheme="minorHAnsi" w:hAnsiTheme="minorHAnsi" w:cstheme="minorBidi"/>
                <w:noProof/>
                <w:lang w:val="en-ZA" w:eastAsia="en-ZA"/>
              </w:rPr>
              <w:tab/>
            </w:r>
            <w:r w:rsidR="00F16E62" w:rsidRPr="00932F8D">
              <w:rPr>
                <w:rStyle w:val="Hyperlink"/>
                <w:noProof/>
              </w:rPr>
              <w:t>Should a company include the LPG stove used in their staff kitchen in the GHG Data Provider Registration?</w:t>
            </w:r>
            <w:r w:rsidR="00F16E62">
              <w:rPr>
                <w:noProof/>
                <w:webHidden/>
              </w:rPr>
              <w:tab/>
            </w:r>
            <w:r w:rsidR="00F16E62">
              <w:rPr>
                <w:noProof/>
                <w:webHidden/>
              </w:rPr>
              <w:fldChar w:fldCharType="begin"/>
            </w:r>
            <w:r w:rsidR="00F16E62">
              <w:rPr>
                <w:noProof/>
                <w:webHidden/>
              </w:rPr>
              <w:instrText xml:space="preserve"> PAGEREF _Toc109812407 \h </w:instrText>
            </w:r>
            <w:r w:rsidR="00F16E62">
              <w:rPr>
                <w:noProof/>
                <w:webHidden/>
              </w:rPr>
            </w:r>
            <w:r w:rsidR="00F16E62">
              <w:rPr>
                <w:noProof/>
                <w:webHidden/>
              </w:rPr>
              <w:fldChar w:fldCharType="separate"/>
            </w:r>
            <w:r w:rsidR="00F16E62">
              <w:rPr>
                <w:noProof/>
                <w:webHidden/>
              </w:rPr>
              <w:t>32</w:t>
            </w:r>
            <w:r w:rsidR="00F16E62">
              <w:rPr>
                <w:noProof/>
                <w:webHidden/>
              </w:rPr>
              <w:fldChar w:fldCharType="end"/>
            </w:r>
          </w:hyperlink>
        </w:p>
        <w:p w14:paraId="2F96544A" w14:textId="03B00315" w:rsidR="00F16E62" w:rsidRDefault="00161F7F">
          <w:pPr>
            <w:pStyle w:val="TOC2"/>
            <w:rPr>
              <w:rFonts w:asciiTheme="minorHAnsi" w:hAnsiTheme="minorHAnsi" w:cstheme="minorBidi"/>
              <w:noProof/>
              <w:lang w:val="en-ZA" w:eastAsia="en-ZA"/>
            </w:rPr>
          </w:pPr>
          <w:hyperlink w:anchor="_Toc109812408" w:history="1">
            <w:r w:rsidR="00F16E62" w:rsidRPr="00932F8D">
              <w:rPr>
                <w:rStyle w:val="Hyperlink"/>
                <w:noProof/>
              </w:rPr>
              <w:t>3.2.</w:t>
            </w:r>
            <w:r w:rsidR="00F16E62">
              <w:rPr>
                <w:rFonts w:asciiTheme="minorHAnsi" w:hAnsiTheme="minorHAnsi" w:cstheme="minorBidi"/>
                <w:noProof/>
                <w:lang w:val="en-ZA" w:eastAsia="en-ZA"/>
              </w:rPr>
              <w:tab/>
            </w:r>
            <w:r w:rsidR="00F16E62" w:rsidRPr="00932F8D">
              <w:rPr>
                <w:rStyle w:val="Hyperlink"/>
                <w:noProof/>
              </w:rPr>
              <w:t>Do we consider rounding off in the application of thresholds, the data provider capacity is 9.916 MW?</w:t>
            </w:r>
            <w:r w:rsidR="00F16E62">
              <w:rPr>
                <w:noProof/>
                <w:webHidden/>
              </w:rPr>
              <w:tab/>
            </w:r>
            <w:r w:rsidR="00F16E62">
              <w:rPr>
                <w:noProof/>
                <w:webHidden/>
              </w:rPr>
              <w:fldChar w:fldCharType="begin"/>
            </w:r>
            <w:r w:rsidR="00F16E62">
              <w:rPr>
                <w:noProof/>
                <w:webHidden/>
              </w:rPr>
              <w:instrText xml:space="preserve"> PAGEREF _Toc109812408 \h </w:instrText>
            </w:r>
            <w:r w:rsidR="00F16E62">
              <w:rPr>
                <w:noProof/>
                <w:webHidden/>
              </w:rPr>
            </w:r>
            <w:r w:rsidR="00F16E62">
              <w:rPr>
                <w:noProof/>
                <w:webHidden/>
              </w:rPr>
              <w:fldChar w:fldCharType="separate"/>
            </w:r>
            <w:r w:rsidR="00F16E62">
              <w:rPr>
                <w:noProof/>
                <w:webHidden/>
              </w:rPr>
              <w:t>32</w:t>
            </w:r>
            <w:r w:rsidR="00F16E62">
              <w:rPr>
                <w:noProof/>
                <w:webHidden/>
              </w:rPr>
              <w:fldChar w:fldCharType="end"/>
            </w:r>
          </w:hyperlink>
        </w:p>
        <w:p w14:paraId="352C6DFB" w14:textId="1906E876" w:rsidR="00F16E62" w:rsidRDefault="00161F7F">
          <w:pPr>
            <w:pStyle w:val="TOC2"/>
            <w:rPr>
              <w:rFonts w:asciiTheme="minorHAnsi" w:hAnsiTheme="minorHAnsi" w:cstheme="minorBidi"/>
              <w:noProof/>
              <w:lang w:val="en-ZA" w:eastAsia="en-ZA"/>
            </w:rPr>
          </w:pPr>
          <w:hyperlink w:anchor="_Toc109812409" w:history="1">
            <w:r w:rsidR="00F16E62" w:rsidRPr="00932F8D">
              <w:rPr>
                <w:rStyle w:val="Hyperlink"/>
                <w:noProof/>
              </w:rPr>
              <w:t>3.3.</w:t>
            </w:r>
            <w:r w:rsidR="00F16E62">
              <w:rPr>
                <w:rFonts w:asciiTheme="minorHAnsi" w:hAnsiTheme="minorHAnsi" w:cstheme="minorBidi"/>
                <w:noProof/>
                <w:lang w:val="en-ZA" w:eastAsia="en-ZA"/>
              </w:rPr>
              <w:tab/>
            </w:r>
            <w:r w:rsidR="00F16E62" w:rsidRPr="00932F8D">
              <w:rPr>
                <w:rStyle w:val="Hyperlink"/>
                <w:noProof/>
              </w:rPr>
              <w:t>If I have activities that meet reporting thresholds in my company and other activities that do not trigger the reporting threshold, do I have to register all activities?  For example, stationary combustion installations that meet the threshold and waste treatment facility does not meet the reporting threshold.</w:t>
            </w:r>
            <w:r w:rsidR="00F16E62">
              <w:rPr>
                <w:noProof/>
                <w:webHidden/>
              </w:rPr>
              <w:tab/>
            </w:r>
            <w:r w:rsidR="00F16E62">
              <w:rPr>
                <w:noProof/>
                <w:webHidden/>
              </w:rPr>
              <w:fldChar w:fldCharType="begin"/>
            </w:r>
            <w:r w:rsidR="00F16E62">
              <w:rPr>
                <w:noProof/>
                <w:webHidden/>
              </w:rPr>
              <w:instrText xml:space="preserve"> PAGEREF _Toc109812409 \h </w:instrText>
            </w:r>
            <w:r w:rsidR="00F16E62">
              <w:rPr>
                <w:noProof/>
                <w:webHidden/>
              </w:rPr>
            </w:r>
            <w:r w:rsidR="00F16E62">
              <w:rPr>
                <w:noProof/>
                <w:webHidden/>
              </w:rPr>
              <w:fldChar w:fldCharType="separate"/>
            </w:r>
            <w:r w:rsidR="00F16E62">
              <w:rPr>
                <w:noProof/>
                <w:webHidden/>
              </w:rPr>
              <w:t>32</w:t>
            </w:r>
            <w:r w:rsidR="00F16E62">
              <w:rPr>
                <w:noProof/>
                <w:webHidden/>
              </w:rPr>
              <w:fldChar w:fldCharType="end"/>
            </w:r>
          </w:hyperlink>
        </w:p>
        <w:p w14:paraId="0483FA86" w14:textId="4C4DD8BF" w:rsidR="00F16E62" w:rsidRDefault="00161F7F">
          <w:pPr>
            <w:pStyle w:val="TOC2"/>
            <w:rPr>
              <w:rFonts w:asciiTheme="minorHAnsi" w:hAnsiTheme="minorHAnsi" w:cstheme="minorBidi"/>
              <w:noProof/>
              <w:lang w:val="en-ZA" w:eastAsia="en-ZA"/>
            </w:rPr>
          </w:pPr>
          <w:hyperlink w:anchor="_Toc109812410" w:history="1">
            <w:r w:rsidR="00F16E62" w:rsidRPr="00932F8D">
              <w:rPr>
                <w:rStyle w:val="Hyperlink"/>
                <w:noProof/>
              </w:rPr>
              <w:t>3.4.</w:t>
            </w:r>
            <w:r w:rsidR="00F16E62">
              <w:rPr>
                <w:rFonts w:asciiTheme="minorHAnsi" w:hAnsiTheme="minorHAnsi" w:cstheme="minorBidi"/>
                <w:noProof/>
                <w:lang w:val="en-ZA" w:eastAsia="en-ZA"/>
              </w:rPr>
              <w:tab/>
            </w:r>
            <w:r w:rsidR="00F16E62" w:rsidRPr="00932F8D">
              <w:rPr>
                <w:rStyle w:val="Hyperlink"/>
                <w:noProof/>
              </w:rPr>
              <w:t>How do I determine whether a company exceeds the 10 MW thermal net heat input, please confirm the equation to calculate the thermal net heat input for each item of stationary combustion equipment?</w:t>
            </w:r>
            <w:r w:rsidR="00F16E62">
              <w:rPr>
                <w:noProof/>
                <w:webHidden/>
              </w:rPr>
              <w:tab/>
            </w:r>
            <w:r w:rsidR="00F16E62">
              <w:rPr>
                <w:noProof/>
                <w:webHidden/>
              </w:rPr>
              <w:fldChar w:fldCharType="begin"/>
            </w:r>
            <w:r w:rsidR="00F16E62">
              <w:rPr>
                <w:noProof/>
                <w:webHidden/>
              </w:rPr>
              <w:instrText xml:space="preserve"> PAGEREF _Toc109812410 \h </w:instrText>
            </w:r>
            <w:r w:rsidR="00F16E62">
              <w:rPr>
                <w:noProof/>
                <w:webHidden/>
              </w:rPr>
            </w:r>
            <w:r w:rsidR="00F16E62">
              <w:rPr>
                <w:noProof/>
                <w:webHidden/>
              </w:rPr>
              <w:fldChar w:fldCharType="separate"/>
            </w:r>
            <w:r w:rsidR="00F16E62">
              <w:rPr>
                <w:noProof/>
                <w:webHidden/>
              </w:rPr>
              <w:t>32</w:t>
            </w:r>
            <w:r w:rsidR="00F16E62">
              <w:rPr>
                <w:noProof/>
                <w:webHidden/>
              </w:rPr>
              <w:fldChar w:fldCharType="end"/>
            </w:r>
          </w:hyperlink>
        </w:p>
        <w:p w14:paraId="562E8CF8" w14:textId="4A045F77" w:rsidR="00F16E62" w:rsidRDefault="00161F7F">
          <w:pPr>
            <w:pStyle w:val="TOC2"/>
            <w:rPr>
              <w:rFonts w:asciiTheme="minorHAnsi" w:hAnsiTheme="minorHAnsi" w:cstheme="minorBidi"/>
              <w:noProof/>
              <w:lang w:val="en-ZA" w:eastAsia="en-ZA"/>
            </w:rPr>
          </w:pPr>
          <w:hyperlink w:anchor="_Toc109812411" w:history="1">
            <w:r w:rsidR="00F16E62" w:rsidRPr="00932F8D">
              <w:rPr>
                <w:rStyle w:val="Hyperlink"/>
                <w:noProof/>
              </w:rPr>
              <w:t>3.5.</w:t>
            </w:r>
            <w:r w:rsidR="00F16E62">
              <w:rPr>
                <w:rFonts w:asciiTheme="minorHAnsi" w:hAnsiTheme="minorHAnsi" w:cstheme="minorBidi"/>
                <w:noProof/>
                <w:lang w:val="en-ZA" w:eastAsia="en-ZA"/>
              </w:rPr>
              <w:tab/>
            </w:r>
            <w:r w:rsidR="00F16E62" w:rsidRPr="00932F8D">
              <w:rPr>
                <w:rStyle w:val="Hyperlink"/>
                <w:noProof/>
              </w:rPr>
              <w:t>Do I include the Net Heat Input of backup stationary combustion installations in the total combined input, even though the installation has never been used/ is rarely ever used?</w:t>
            </w:r>
            <w:r w:rsidR="00F16E62">
              <w:rPr>
                <w:noProof/>
                <w:webHidden/>
              </w:rPr>
              <w:tab/>
            </w:r>
            <w:r w:rsidR="00F16E62">
              <w:rPr>
                <w:noProof/>
                <w:webHidden/>
              </w:rPr>
              <w:fldChar w:fldCharType="begin"/>
            </w:r>
            <w:r w:rsidR="00F16E62">
              <w:rPr>
                <w:noProof/>
                <w:webHidden/>
              </w:rPr>
              <w:instrText xml:space="preserve"> PAGEREF _Toc109812411 \h </w:instrText>
            </w:r>
            <w:r w:rsidR="00F16E62">
              <w:rPr>
                <w:noProof/>
                <w:webHidden/>
              </w:rPr>
            </w:r>
            <w:r w:rsidR="00F16E62">
              <w:rPr>
                <w:noProof/>
                <w:webHidden/>
              </w:rPr>
              <w:fldChar w:fldCharType="separate"/>
            </w:r>
            <w:r w:rsidR="00F16E62">
              <w:rPr>
                <w:noProof/>
                <w:webHidden/>
              </w:rPr>
              <w:t>34</w:t>
            </w:r>
            <w:r w:rsidR="00F16E62">
              <w:rPr>
                <w:noProof/>
                <w:webHidden/>
              </w:rPr>
              <w:fldChar w:fldCharType="end"/>
            </w:r>
          </w:hyperlink>
        </w:p>
        <w:p w14:paraId="52E2D8F7" w14:textId="5FBB99C4" w:rsidR="00F16E62" w:rsidRDefault="00161F7F">
          <w:pPr>
            <w:pStyle w:val="TOC2"/>
            <w:rPr>
              <w:rFonts w:asciiTheme="minorHAnsi" w:hAnsiTheme="minorHAnsi" w:cstheme="minorBidi"/>
              <w:noProof/>
              <w:lang w:val="en-ZA" w:eastAsia="en-ZA"/>
            </w:rPr>
          </w:pPr>
          <w:hyperlink w:anchor="_Toc109812412" w:history="1">
            <w:r w:rsidR="00F16E62" w:rsidRPr="00932F8D">
              <w:rPr>
                <w:rStyle w:val="Hyperlink"/>
                <w:noProof/>
              </w:rPr>
              <w:t>3.6. If the boilers are each below 10MWth, do they still need to be registered and reported on?</w:t>
            </w:r>
            <w:r w:rsidR="00F16E62">
              <w:rPr>
                <w:noProof/>
                <w:webHidden/>
              </w:rPr>
              <w:tab/>
            </w:r>
            <w:r w:rsidR="00F16E62">
              <w:rPr>
                <w:noProof/>
                <w:webHidden/>
              </w:rPr>
              <w:fldChar w:fldCharType="begin"/>
            </w:r>
            <w:r w:rsidR="00F16E62">
              <w:rPr>
                <w:noProof/>
                <w:webHidden/>
              </w:rPr>
              <w:instrText xml:space="preserve"> PAGEREF _Toc109812412 \h </w:instrText>
            </w:r>
            <w:r w:rsidR="00F16E62">
              <w:rPr>
                <w:noProof/>
                <w:webHidden/>
              </w:rPr>
            </w:r>
            <w:r w:rsidR="00F16E62">
              <w:rPr>
                <w:noProof/>
                <w:webHidden/>
              </w:rPr>
              <w:fldChar w:fldCharType="separate"/>
            </w:r>
            <w:r w:rsidR="00F16E62">
              <w:rPr>
                <w:noProof/>
                <w:webHidden/>
              </w:rPr>
              <w:t>34</w:t>
            </w:r>
            <w:r w:rsidR="00F16E62">
              <w:rPr>
                <w:noProof/>
                <w:webHidden/>
              </w:rPr>
              <w:fldChar w:fldCharType="end"/>
            </w:r>
          </w:hyperlink>
        </w:p>
        <w:p w14:paraId="63AA5186" w14:textId="43072C02" w:rsidR="00F16E62" w:rsidRDefault="00161F7F">
          <w:pPr>
            <w:pStyle w:val="TOC1"/>
            <w:rPr>
              <w:rFonts w:asciiTheme="minorHAnsi" w:eastAsiaTheme="minorEastAsia" w:hAnsiTheme="minorHAnsi"/>
              <w:b w:val="0"/>
              <w:lang w:val="en-ZA" w:eastAsia="en-ZA"/>
            </w:rPr>
          </w:pPr>
          <w:hyperlink w:anchor="_Toc109812413" w:history="1">
            <w:r w:rsidR="00F16E62" w:rsidRPr="00932F8D">
              <w:rPr>
                <w:rStyle w:val="Hyperlink"/>
              </w:rPr>
              <w:t>4.</w:t>
            </w:r>
            <w:r w:rsidR="00F16E62">
              <w:rPr>
                <w:rFonts w:asciiTheme="minorHAnsi" w:eastAsiaTheme="minorEastAsia" w:hAnsiTheme="minorHAnsi"/>
                <w:b w:val="0"/>
                <w:lang w:val="en-ZA" w:eastAsia="en-ZA"/>
              </w:rPr>
              <w:tab/>
            </w:r>
            <w:r w:rsidR="00F16E62" w:rsidRPr="00932F8D">
              <w:rPr>
                <w:rStyle w:val="Hyperlink"/>
              </w:rPr>
              <w:t>Reporting Questions</w:t>
            </w:r>
            <w:r w:rsidR="00F16E62">
              <w:rPr>
                <w:webHidden/>
              </w:rPr>
              <w:tab/>
            </w:r>
            <w:r w:rsidR="00F16E62">
              <w:rPr>
                <w:webHidden/>
              </w:rPr>
              <w:fldChar w:fldCharType="begin"/>
            </w:r>
            <w:r w:rsidR="00F16E62">
              <w:rPr>
                <w:webHidden/>
              </w:rPr>
              <w:instrText xml:space="preserve"> PAGEREF _Toc109812413 \h </w:instrText>
            </w:r>
            <w:r w:rsidR="00F16E62">
              <w:rPr>
                <w:webHidden/>
              </w:rPr>
            </w:r>
            <w:r w:rsidR="00F16E62">
              <w:rPr>
                <w:webHidden/>
              </w:rPr>
              <w:fldChar w:fldCharType="separate"/>
            </w:r>
            <w:r w:rsidR="00F16E62">
              <w:rPr>
                <w:webHidden/>
              </w:rPr>
              <w:t>35</w:t>
            </w:r>
            <w:r w:rsidR="00F16E62">
              <w:rPr>
                <w:webHidden/>
              </w:rPr>
              <w:fldChar w:fldCharType="end"/>
            </w:r>
          </w:hyperlink>
        </w:p>
        <w:p w14:paraId="18065AB2" w14:textId="10A9ED4C" w:rsidR="00F16E62" w:rsidRDefault="00161F7F">
          <w:pPr>
            <w:pStyle w:val="TOC2"/>
            <w:rPr>
              <w:rFonts w:asciiTheme="minorHAnsi" w:hAnsiTheme="minorHAnsi" w:cstheme="minorBidi"/>
              <w:noProof/>
              <w:lang w:val="en-ZA" w:eastAsia="en-ZA"/>
            </w:rPr>
          </w:pPr>
          <w:hyperlink w:anchor="_Toc109812414" w:history="1">
            <w:r w:rsidR="00F16E62" w:rsidRPr="00932F8D">
              <w:rPr>
                <w:rStyle w:val="Hyperlink"/>
                <w:noProof/>
              </w:rPr>
              <w:t>4.1.</w:t>
            </w:r>
            <w:r w:rsidR="00F16E62">
              <w:rPr>
                <w:rFonts w:asciiTheme="minorHAnsi" w:hAnsiTheme="minorHAnsi" w:cstheme="minorBidi"/>
                <w:noProof/>
                <w:lang w:val="en-ZA" w:eastAsia="en-ZA"/>
              </w:rPr>
              <w:tab/>
            </w:r>
            <w:r w:rsidR="00F16E62" w:rsidRPr="00932F8D">
              <w:rPr>
                <w:rStyle w:val="Hyperlink"/>
                <w:noProof/>
              </w:rPr>
              <w:t>Are there any penalties for not reporting a facilities GHG emissions via SAGERS within the prescribed period?</w:t>
            </w:r>
            <w:r w:rsidR="00F16E62">
              <w:rPr>
                <w:noProof/>
                <w:webHidden/>
              </w:rPr>
              <w:tab/>
            </w:r>
            <w:r w:rsidR="00F16E62">
              <w:rPr>
                <w:noProof/>
                <w:webHidden/>
              </w:rPr>
              <w:fldChar w:fldCharType="begin"/>
            </w:r>
            <w:r w:rsidR="00F16E62">
              <w:rPr>
                <w:noProof/>
                <w:webHidden/>
              </w:rPr>
              <w:instrText xml:space="preserve"> PAGEREF _Toc109812414 \h </w:instrText>
            </w:r>
            <w:r w:rsidR="00F16E62">
              <w:rPr>
                <w:noProof/>
                <w:webHidden/>
              </w:rPr>
            </w:r>
            <w:r w:rsidR="00F16E62">
              <w:rPr>
                <w:noProof/>
                <w:webHidden/>
              </w:rPr>
              <w:fldChar w:fldCharType="separate"/>
            </w:r>
            <w:r w:rsidR="00F16E62">
              <w:rPr>
                <w:noProof/>
                <w:webHidden/>
              </w:rPr>
              <w:t>35</w:t>
            </w:r>
            <w:r w:rsidR="00F16E62">
              <w:rPr>
                <w:noProof/>
                <w:webHidden/>
              </w:rPr>
              <w:fldChar w:fldCharType="end"/>
            </w:r>
          </w:hyperlink>
        </w:p>
        <w:p w14:paraId="46D23069" w14:textId="5E99A3A4" w:rsidR="00F16E62" w:rsidRDefault="00161F7F">
          <w:pPr>
            <w:pStyle w:val="TOC2"/>
            <w:rPr>
              <w:rFonts w:asciiTheme="minorHAnsi" w:hAnsiTheme="minorHAnsi" w:cstheme="minorBidi"/>
              <w:noProof/>
              <w:lang w:val="en-ZA" w:eastAsia="en-ZA"/>
            </w:rPr>
          </w:pPr>
          <w:hyperlink w:anchor="_Toc109812415" w:history="1">
            <w:r w:rsidR="00F16E62" w:rsidRPr="00932F8D">
              <w:rPr>
                <w:rStyle w:val="Hyperlink"/>
                <w:noProof/>
              </w:rPr>
              <w:t>4.2.</w:t>
            </w:r>
            <w:r w:rsidR="00F16E62">
              <w:rPr>
                <w:rFonts w:asciiTheme="minorHAnsi" w:hAnsiTheme="minorHAnsi" w:cstheme="minorBidi"/>
                <w:noProof/>
                <w:lang w:val="en-ZA" w:eastAsia="en-ZA"/>
              </w:rPr>
              <w:tab/>
            </w:r>
            <w:r w:rsidR="00F16E62" w:rsidRPr="00932F8D">
              <w:rPr>
                <w:rStyle w:val="Hyperlink"/>
                <w:noProof/>
              </w:rPr>
              <w:t>What is the difference between a reporting period and a reporting cycle?</w:t>
            </w:r>
            <w:r w:rsidR="00F16E62">
              <w:rPr>
                <w:noProof/>
                <w:webHidden/>
              </w:rPr>
              <w:tab/>
            </w:r>
            <w:r w:rsidR="00F16E62">
              <w:rPr>
                <w:noProof/>
                <w:webHidden/>
              </w:rPr>
              <w:fldChar w:fldCharType="begin"/>
            </w:r>
            <w:r w:rsidR="00F16E62">
              <w:rPr>
                <w:noProof/>
                <w:webHidden/>
              </w:rPr>
              <w:instrText xml:space="preserve"> PAGEREF _Toc109812415 \h </w:instrText>
            </w:r>
            <w:r w:rsidR="00F16E62">
              <w:rPr>
                <w:noProof/>
                <w:webHidden/>
              </w:rPr>
            </w:r>
            <w:r w:rsidR="00F16E62">
              <w:rPr>
                <w:noProof/>
                <w:webHidden/>
              </w:rPr>
              <w:fldChar w:fldCharType="separate"/>
            </w:r>
            <w:r w:rsidR="00F16E62">
              <w:rPr>
                <w:noProof/>
                <w:webHidden/>
              </w:rPr>
              <w:t>35</w:t>
            </w:r>
            <w:r w:rsidR="00F16E62">
              <w:rPr>
                <w:noProof/>
                <w:webHidden/>
              </w:rPr>
              <w:fldChar w:fldCharType="end"/>
            </w:r>
          </w:hyperlink>
        </w:p>
        <w:p w14:paraId="08980C82" w14:textId="5F793693" w:rsidR="00F16E62" w:rsidRDefault="00161F7F">
          <w:pPr>
            <w:pStyle w:val="TOC2"/>
            <w:rPr>
              <w:rFonts w:asciiTheme="minorHAnsi" w:hAnsiTheme="minorHAnsi" w:cstheme="minorBidi"/>
              <w:noProof/>
              <w:lang w:val="en-ZA" w:eastAsia="en-ZA"/>
            </w:rPr>
          </w:pPr>
          <w:hyperlink w:anchor="_Toc109812416" w:history="1">
            <w:r w:rsidR="00F16E62" w:rsidRPr="00932F8D">
              <w:rPr>
                <w:rStyle w:val="Hyperlink"/>
                <w:rFonts w:eastAsia="Arial Narrow" w:cs="Arial Narrow"/>
                <w:noProof/>
              </w:rPr>
              <w:t>A “reporting period” is defined in the regulations as one calendar year. A reporting cycle is a term used purely internally by the DFFE. The reporting cycle numeration follows the reporting period by one, I.e. the reporting cycle 2025 would indicate the usage of data that was reported for the reporting period 2024.</w:t>
            </w:r>
            <w:r w:rsidR="00F16E62">
              <w:rPr>
                <w:noProof/>
                <w:webHidden/>
              </w:rPr>
              <w:tab/>
            </w:r>
            <w:r w:rsidR="00F16E62">
              <w:rPr>
                <w:noProof/>
                <w:webHidden/>
              </w:rPr>
              <w:fldChar w:fldCharType="begin"/>
            </w:r>
            <w:r w:rsidR="00F16E62">
              <w:rPr>
                <w:noProof/>
                <w:webHidden/>
              </w:rPr>
              <w:instrText xml:space="preserve"> PAGEREF _Toc109812416 \h </w:instrText>
            </w:r>
            <w:r w:rsidR="00F16E62">
              <w:rPr>
                <w:noProof/>
                <w:webHidden/>
              </w:rPr>
            </w:r>
            <w:r w:rsidR="00F16E62">
              <w:rPr>
                <w:noProof/>
                <w:webHidden/>
              </w:rPr>
              <w:fldChar w:fldCharType="separate"/>
            </w:r>
            <w:r w:rsidR="00F16E62">
              <w:rPr>
                <w:noProof/>
                <w:webHidden/>
              </w:rPr>
              <w:t>35</w:t>
            </w:r>
            <w:r w:rsidR="00F16E62">
              <w:rPr>
                <w:noProof/>
                <w:webHidden/>
              </w:rPr>
              <w:fldChar w:fldCharType="end"/>
            </w:r>
          </w:hyperlink>
        </w:p>
        <w:p w14:paraId="4C247AF8" w14:textId="103067DC" w:rsidR="00F16E62" w:rsidRDefault="00161F7F">
          <w:pPr>
            <w:pStyle w:val="TOC2"/>
            <w:rPr>
              <w:rFonts w:asciiTheme="minorHAnsi" w:hAnsiTheme="minorHAnsi" w:cstheme="minorBidi"/>
              <w:noProof/>
              <w:lang w:val="en-ZA" w:eastAsia="en-ZA"/>
            </w:rPr>
          </w:pPr>
          <w:hyperlink w:anchor="_Toc109812417" w:history="1">
            <w:r w:rsidR="00F16E62" w:rsidRPr="00932F8D">
              <w:rPr>
                <w:rStyle w:val="Hyperlink"/>
                <w:noProof/>
              </w:rPr>
              <w:t>4.3.</w:t>
            </w:r>
            <w:r w:rsidR="00F16E62">
              <w:rPr>
                <w:rFonts w:asciiTheme="minorHAnsi" w:hAnsiTheme="minorHAnsi" w:cstheme="minorBidi"/>
                <w:noProof/>
                <w:lang w:val="en-ZA" w:eastAsia="en-ZA"/>
              </w:rPr>
              <w:tab/>
            </w:r>
            <w:r w:rsidR="00F16E62" w:rsidRPr="00932F8D">
              <w:rPr>
                <w:rStyle w:val="Hyperlink"/>
                <w:noProof/>
              </w:rPr>
              <w:t>How do I link a consultant to my profile to assist with reporting?</w:t>
            </w:r>
            <w:r w:rsidR="00F16E62">
              <w:rPr>
                <w:noProof/>
                <w:webHidden/>
              </w:rPr>
              <w:tab/>
            </w:r>
            <w:r w:rsidR="00F16E62">
              <w:rPr>
                <w:noProof/>
                <w:webHidden/>
              </w:rPr>
              <w:fldChar w:fldCharType="begin"/>
            </w:r>
            <w:r w:rsidR="00F16E62">
              <w:rPr>
                <w:noProof/>
                <w:webHidden/>
              </w:rPr>
              <w:instrText xml:space="preserve"> PAGEREF _Toc109812417 \h </w:instrText>
            </w:r>
            <w:r w:rsidR="00F16E62">
              <w:rPr>
                <w:noProof/>
                <w:webHidden/>
              </w:rPr>
            </w:r>
            <w:r w:rsidR="00F16E62">
              <w:rPr>
                <w:noProof/>
                <w:webHidden/>
              </w:rPr>
              <w:fldChar w:fldCharType="separate"/>
            </w:r>
            <w:r w:rsidR="00F16E62">
              <w:rPr>
                <w:noProof/>
                <w:webHidden/>
              </w:rPr>
              <w:t>35</w:t>
            </w:r>
            <w:r w:rsidR="00F16E62">
              <w:rPr>
                <w:noProof/>
                <w:webHidden/>
              </w:rPr>
              <w:fldChar w:fldCharType="end"/>
            </w:r>
          </w:hyperlink>
        </w:p>
        <w:p w14:paraId="2E8E4839" w14:textId="5C56860C" w:rsidR="00F16E62" w:rsidRDefault="00161F7F">
          <w:pPr>
            <w:pStyle w:val="TOC2"/>
            <w:rPr>
              <w:rFonts w:asciiTheme="minorHAnsi" w:hAnsiTheme="minorHAnsi" w:cstheme="minorBidi"/>
              <w:noProof/>
              <w:lang w:val="en-ZA" w:eastAsia="en-ZA"/>
            </w:rPr>
          </w:pPr>
          <w:hyperlink w:anchor="_Toc109812418" w:history="1">
            <w:r w:rsidR="00F16E62" w:rsidRPr="00932F8D">
              <w:rPr>
                <w:rStyle w:val="Hyperlink"/>
                <w:noProof/>
              </w:rPr>
              <w:t>4.4. Circumstances determining the use of country-specific EFs and how this is dealt with inside SAGERS</w:t>
            </w:r>
            <w:r w:rsidR="00F16E62">
              <w:rPr>
                <w:noProof/>
                <w:webHidden/>
              </w:rPr>
              <w:tab/>
            </w:r>
            <w:r w:rsidR="00F16E62">
              <w:rPr>
                <w:noProof/>
                <w:webHidden/>
              </w:rPr>
              <w:fldChar w:fldCharType="begin"/>
            </w:r>
            <w:r w:rsidR="00F16E62">
              <w:rPr>
                <w:noProof/>
                <w:webHidden/>
              </w:rPr>
              <w:instrText xml:space="preserve"> PAGEREF _Toc109812418 \h </w:instrText>
            </w:r>
            <w:r w:rsidR="00F16E62">
              <w:rPr>
                <w:noProof/>
                <w:webHidden/>
              </w:rPr>
            </w:r>
            <w:r w:rsidR="00F16E62">
              <w:rPr>
                <w:noProof/>
                <w:webHidden/>
              </w:rPr>
              <w:fldChar w:fldCharType="separate"/>
            </w:r>
            <w:r w:rsidR="00F16E62">
              <w:rPr>
                <w:noProof/>
                <w:webHidden/>
              </w:rPr>
              <w:t>37</w:t>
            </w:r>
            <w:r w:rsidR="00F16E62">
              <w:rPr>
                <w:noProof/>
                <w:webHidden/>
              </w:rPr>
              <w:fldChar w:fldCharType="end"/>
            </w:r>
          </w:hyperlink>
        </w:p>
        <w:p w14:paraId="23757B2A" w14:textId="6C71C35C" w:rsidR="00F16E62" w:rsidRDefault="00161F7F">
          <w:pPr>
            <w:pStyle w:val="TOC2"/>
            <w:rPr>
              <w:rFonts w:asciiTheme="minorHAnsi" w:hAnsiTheme="minorHAnsi" w:cstheme="minorBidi"/>
              <w:noProof/>
              <w:lang w:val="en-ZA" w:eastAsia="en-ZA"/>
            </w:rPr>
          </w:pPr>
          <w:hyperlink w:anchor="_Toc109812419" w:history="1">
            <w:r w:rsidR="00F16E62" w:rsidRPr="00932F8D">
              <w:rPr>
                <w:rStyle w:val="Hyperlink"/>
                <w:rFonts w:ascii="Calibri" w:eastAsia="Times New Roman" w:hAnsi="Calibri" w:cs="Calibri"/>
                <w:b/>
                <w:bCs/>
                <w:iCs/>
                <w:noProof/>
                <w:lang w:eastAsia="x-none"/>
              </w:rPr>
              <w:t>Prepare and Submit Form</w:t>
            </w:r>
            <w:r w:rsidR="00F16E62">
              <w:rPr>
                <w:noProof/>
                <w:webHidden/>
              </w:rPr>
              <w:tab/>
            </w:r>
            <w:r w:rsidR="00F16E62">
              <w:rPr>
                <w:noProof/>
                <w:webHidden/>
              </w:rPr>
              <w:fldChar w:fldCharType="begin"/>
            </w:r>
            <w:r w:rsidR="00F16E62">
              <w:rPr>
                <w:noProof/>
                <w:webHidden/>
              </w:rPr>
              <w:instrText xml:space="preserve"> PAGEREF _Toc109812419 \h </w:instrText>
            </w:r>
            <w:r w:rsidR="00F16E62">
              <w:rPr>
                <w:noProof/>
                <w:webHidden/>
              </w:rPr>
            </w:r>
            <w:r w:rsidR="00F16E62">
              <w:rPr>
                <w:noProof/>
                <w:webHidden/>
              </w:rPr>
              <w:fldChar w:fldCharType="separate"/>
            </w:r>
            <w:r w:rsidR="00F16E62">
              <w:rPr>
                <w:noProof/>
                <w:webHidden/>
              </w:rPr>
              <w:t>38</w:t>
            </w:r>
            <w:r w:rsidR="00F16E62">
              <w:rPr>
                <w:noProof/>
                <w:webHidden/>
              </w:rPr>
              <w:fldChar w:fldCharType="end"/>
            </w:r>
          </w:hyperlink>
        </w:p>
        <w:p w14:paraId="6D02C688" w14:textId="0020E40B" w:rsidR="00F16E62" w:rsidRDefault="00161F7F">
          <w:pPr>
            <w:pStyle w:val="TOC2"/>
            <w:rPr>
              <w:rFonts w:asciiTheme="minorHAnsi" w:hAnsiTheme="minorHAnsi" w:cstheme="minorBidi"/>
              <w:noProof/>
              <w:lang w:val="en-ZA" w:eastAsia="en-ZA"/>
            </w:rPr>
          </w:pPr>
          <w:hyperlink w:anchor="_Toc109812420" w:history="1">
            <w:r w:rsidR="00F16E62" w:rsidRPr="00932F8D">
              <w:rPr>
                <w:rStyle w:val="Hyperlink"/>
                <w:noProof/>
              </w:rPr>
              <w:t>4.5. How do I convert the country specific net calorific values (NCVs) into the correct units for reporting?</w:t>
            </w:r>
            <w:r w:rsidR="00F16E62">
              <w:rPr>
                <w:noProof/>
                <w:webHidden/>
              </w:rPr>
              <w:tab/>
            </w:r>
            <w:r w:rsidR="00F16E62">
              <w:rPr>
                <w:noProof/>
                <w:webHidden/>
              </w:rPr>
              <w:fldChar w:fldCharType="begin"/>
            </w:r>
            <w:r w:rsidR="00F16E62">
              <w:rPr>
                <w:noProof/>
                <w:webHidden/>
              </w:rPr>
              <w:instrText xml:space="preserve"> PAGEREF _Toc109812420 \h </w:instrText>
            </w:r>
            <w:r w:rsidR="00F16E62">
              <w:rPr>
                <w:noProof/>
                <w:webHidden/>
              </w:rPr>
            </w:r>
            <w:r w:rsidR="00F16E62">
              <w:rPr>
                <w:noProof/>
                <w:webHidden/>
              </w:rPr>
              <w:fldChar w:fldCharType="separate"/>
            </w:r>
            <w:r w:rsidR="00F16E62">
              <w:rPr>
                <w:noProof/>
                <w:webHidden/>
              </w:rPr>
              <w:t>39</w:t>
            </w:r>
            <w:r w:rsidR="00F16E62">
              <w:rPr>
                <w:noProof/>
                <w:webHidden/>
              </w:rPr>
              <w:fldChar w:fldCharType="end"/>
            </w:r>
          </w:hyperlink>
        </w:p>
        <w:p w14:paraId="1E874C2A" w14:textId="4064EF1D" w:rsidR="00F16E62" w:rsidRDefault="00161F7F">
          <w:pPr>
            <w:pStyle w:val="TOC2"/>
            <w:rPr>
              <w:rFonts w:asciiTheme="minorHAnsi" w:hAnsiTheme="minorHAnsi" w:cstheme="minorBidi"/>
              <w:noProof/>
              <w:lang w:val="en-ZA" w:eastAsia="en-ZA"/>
            </w:rPr>
          </w:pPr>
          <w:hyperlink w:anchor="_Toc109812421" w:history="1">
            <w:r w:rsidR="00F16E62" w:rsidRPr="00932F8D">
              <w:rPr>
                <w:rStyle w:val="Hyperlink"/>
                <w:noProof/>
              </w:rPr>
              <w:t>4.6.</w:t>
            </w:r>
            <w:r w:rsidR="00F16E62">
              <w:rPr>
                <w:rFonts w:asciiTheme="minorHAnsi" w:hAnsiTheme="minorHAnsi" w:cstheme="minorBidi"/>
                <w:noProof/>
                <w:lang w:val="en-ZA" w:eastAsia="en-ZA"/>
              </w:rPr>
              <w:tab/>
            </w:r>
            <w:r w:rsidR="00F16E62" w:rsidRPr="00932F8D">
              <w:rPr>
                <w:rStyle w:val="Hyperlink"/>
                <w:noProof/>
              </w:rPr>
              <w:t>Do the different Tier methods change the activity data that data providers need to report?</w:t>
            </w:r>
            <w:r w:rsidR="00F16E62">
              <w:rPr>
                <w:noProof/>
                <w:webHidden/>
              </w:rPr>
              <w:tab/>
            </w:r>
            <w:r w:rsidR="00F16E62">
              <w:rPr>
                <w:noProof/>
                <w:webHidden/>
              </w:rPr>
              <w:fldChar w:fldCharType="begin"/>
            </w:r>
            <w:r w:rsidR="00F16E62">
              <w:rPr>
                <w:noProof/>
                <w:webHidden/>
              </w:rPr>
              <w:instrText xml:space="preserve"> PAGEREF _Toc109812421 \h </w:instrText>
            </w:r>
            <w:r w:rsidR="00F16E62">
              <w:rPr>
                <w:noProof/>
                <w:webHidden/>
              </w:rPr>
            </w:r>
            <w:r w:rsidR="00F16E62">
              <w:rPr>
                <w:noProof/>
                <w:webHidden/>
              </w:rPr>
              <w:fldChar w:fldCharType="separate"/>
            </w:r>
            <w:r w:rsidR="00F16E62">
              <w:rPr>
                <w:noProof/>
                <w:webHidden/>
              </w:rPr>
              <w:t>39</w:t>
            </w:r>
            <w:r w:rsidR="00F16E62">
              <w:rPr>
                <w:noProof/>
                <w:webHidden/>
              </w:rPr>
              <w:fldChar w:fldCharType="end"/>
            </w:r>
          </w:hyperlink>
        </w:p>
        <w:p w14:paraId="4781AB5E" w14:textId="1B06DFD6" w:rsidR="00F16E62" w:rsidRDefault="00161F7F">
          <w:pPr>
            <w:pStyle w:val="TOC2"/>
            <w:rPr>
              <w:rFonts w:asciiTheme="minorHAnsi" w:hAnsiTheme="minorHAnsi" w:cstheme="minorBidi"/>
              <w:noProof/>
              <w:lang w:val="en-ZA" w:eastAsia="en-ZA"/>
            </w:rPr>
          </w:pPr>
          <w:hyperlink w:anchor="_Toc109812422" w:history="1">
            <w:r w:rsidR="00F16E62" w:rsidRPr="00932F8D">
              <w:rPr>
                <w:rStyle w:val="Hyperlink"/>
                <w:noProof/>
                <w:lang w:val="en-ZA"/>
              </w:rPr>
              <w:t>4.7. What information is required for Tier 3 submissions?</w:t>
            </w:r>
            <w:r w:rsidR="00F16E62">
              <w:rPr>
                <w:noProof/>
                <w:webHidden/>
              </w:rPr>
              <w:tab/>
            </w:r>
            <w:r w:rsidR="00F16E62">
              <w:rPr>
                <w:noProof/>
                <w:webHidden/>
              </w:rPr>
              <w:fldChar w:fldCharType="begin"/>
            </w:r>
            <w:r w:rsidR="00F16E62">
              <w:rPr>
                <w:noProof/>
                <w:webHidden/>
              </w:rPr>
              <w:instrText xml:space="preserve"> PAGEREF _Toc109812422 \h </w:instrText>
            </w:r>
            <w:r w:rsidR="00F16E62">
              <w:rPr>
                <w:noProof/>
                <w:webHidden/>
              </w:rPr>
            </w:r>
            <w:r w:rsidR="00F16E62">
              <w:rPr>
                <w:noProof/>
                <w:webHidden/>
              </w:rPr>
              <w:fldChar w:fldCharType="separate"/>
            </w:r>
            <w:r w:rsidR="00F16E62">
              <w:rPr>
                <w:noProof/>
                <w:webHidden/>
              </w:rPr>
              <w:t>40</w:t>
            </w:r>
            <w:r w:rsidR="00F16E62">
              <w:rPr>
                <w:noProof/>
                <w:webHidden/>
              </w:rPr>
              <w:fldChar w:fldCharType="end"/>
            </w:r>
          </w:hyperlink>
        </w:p>
        <w:p w14:paraId="54981342" w14:textId="3BE09723" w:rsidR="00F16E62" w:rsidRDefault="00161F7F">
          <w:pPr>
            <w:pStyle w:val="TOC2"/>
            <w:rPr>
              <w:rFonts w:asciiTheme="minorHAnsi" w:hAnsiTheme="minorHAnsi" w:cstheme="minorBidi"/>
              <w:noProof/>
              <w:lang w:val="en-ZA" w:eastAsia="en-ZA"/>
            </w:rPr>
          </w:pPr>
          <w:hyperlink w:anchor="_Toc109812423" w:history="1">
            <w:r w:rsidR="00F16E62" w:rsidRPr="00932F8D">
              <w:rPr>
                <w:rStyle w:val="Hyperlink"/>
                <w:noProof/>
              </w:rPr>
              <w:t>4.8. When using a Tier 3 method to estimate emissions, will a formal approval of the method used be issued to the data provider?</w:t>
            </w:r>
            <w:r w:rsidR="00F16E62">
              <w:rPr>
                <w:noProof/>
                <w:webHidden/>
              </w:rPr>
              <w:tab/>
            </w:r>
            <w:r w:rsidR="00F16E62">
              <w:rPr>
                <w:noProof/>
                <w:webHidden/>
              </w:rPr>
              <w:fldChar w:fldCharType="begin"/>
            </w:r>
            <w:r w:rsidR="00F16E62">
              <w:rPr>
                <w:noProof/>
                <w:webHidden/>
              </w:rPr>
              <w:instrText xml:space="preserve"> PAGEREF _Toc109812423 \h </w:instrText>
            </w:r>
            <w:r w:rsidR="00F16E62">
              <w:rPr>
                <w:noProof/>
                <w:webHidden/>
              </w:rPr>
            </w:r>
            <w:r w:rsidR="00F16E62">
              <w:rPr>
                <w:noProof/>
                <w:webHidden/>
              </w:rPr>
              <w:fldChar w:fldCharType="separate"/>
            </w:r>
            <w:r w:rsidR="00F16E62">
              <w:rPr>
                <w:noProof/>
                <w:webHidden/>
              </w:rPr>
              <w:t>40</w:t>
            </w:r>
            <w:r w:rsidR="00F16E62">
              <w:rPr>
                <w:noProof/>
                <w:webHidden/>
              </w:rPr>
              <w:fldChar w:fldCharType="end"/>
            </w:r>
          </w:hyperlink>
        </w:p>
        <w:p w14:paraId="6927AA35" w14:textId="75D1630E" w:rsidR="00F16E62" w:rsidRDefault="00161F7F">
          <w:pPr>
            <w:pStyle w:val="TOC2"/>
            <w:rPr>
              <w:rFonts w:asciiTheme="minorHAnsi" w:hAnsiTheme="minorHAnsi" w:cstheme="minorBidi"/>
              <w:noProof/>
              <w:lang w:val="en-ZA" w:eastAsia="en-ZA"/>
            </w:rPr>
          </w:pPr>
          <w:hyperlink w:anchor="_Toc109812424" w:history="1">
            <w:r w:rsidR="00F16E62" w:rsidRPr="00932F8D">
              <w:rPr>
                <w:rStyle w:val="Hyperlink"/>
                <w:noProof/>
              </w:rPr>
              <w:t>4.9. Do data providers need to use the AR3 to convert to CO</w:t>
            </w:r>
            <w:r w:rsidR="00F16E62" w:rsidRPr="00932F8D">
              <w:rPr>
                <w:rStyle w:val="Hyperlink"/>
                <w:noProof/>
                <w:vertAlign w:val="subscript"/>
              </w:rPr>
              <w:t>2eq</w:t>
            </w:r>
            <w:r w:rsidR="00F16E62" w:rsidRPr="00932F8D">
              <w:rPr>
                <w:rStyle w:val="Hyperlink"/>
                <w:noProof/>
              </w:rPr>
              <w:t xml:space="preserve"> instead of the more recent ARs?</w:t>
            </w:r>
            <w:r w:rsidR="00F16E62">
              <w:rPr>
                <w:noProof/>
                <w:webHidden/>
              </w:rPr>
              <w:tab/>
            </w:r>
            <w:r w:rsidR="00F16E62">
              <w:rPr>
                <w:noProof/>
                <w:webHidden/>
              </w:rPr>
              <w:fldChar w:fldCharType="begin"/>
            </w:r>
            <w:r w:rsidR="00F16E62">
              <w:rPr>
                <w:noProof/>
                <w:webHidden/>
              </w:rPr>
              <w:instrText xml:space="preserve"> PAGEREF _Toc109812424 \h </w:instrText>
            </w:r>
            <w:r w:rsidR="00F16E62">
              <w:rPr>
                <w:noProof/>
                <w:webHidden/>
              </w:rPr>
            </w:r>
            <w:r w:rsidR="00F16E62">
              <w:rPr>
                <w:noProof/>
                <w:webHidden/>
              </w:rPr>
              <w:fldChar w:fldCharType="separate"/>
            </w:r>
            <w:r w:rsidR="00F16E62">
              <w:rPr>
                <w:noProof/>
                <w:webHidden/>
              </w:rPr>
              <w:t>41</w:t>
            </w:r>
            <w:r w:rsidR="00F16E62">
              <w:rPr>
                <w:noProof/>
                <w:webHidden/>
              </w:rPr>
              <w:fldChar w:fldCharType="end"/>
            </w:r>
          </w:hyperlink>
        </w:p>
        <w:p w14:paraId="31B9AE4A" w14:textId="4BC86BF9" w:rsidR="00F16E62" w:rsidRDefault="00161F7F">
          <w:pPr>
            <w:pStyle w:val="TOC2"/>
            <w:rPr>
              <w:rFonts w:asciiTheme="minorHAnsi" w:hAnsiTheme="minorHAnsi" w:cstheme="minorBidi"/>
              <w:noProof/>
              <w:lang w:val="en-ZA" w:eastAsia="en-ZA"/>
            </w:rPr>
          </w:pPr>
          <w:hyperlink w:anchor="_Toc109812425" w:history="1">
            <w:r w:rsidR="00F16E62" w:rsidRPr="00932F8D">
              <w:rPr>
                <w:rStyle w:val="Hyperlink"/>
                <w:noProof/>
              </w:rPr>
              <w:t>4.10. When do we use Notation keys when reporting on SAGERS?</w:t>
            </w:r>
            <w:r w:rsidR="00F16E62">
              <w:rPr>
                <w:noProof/>
                <w:webHidden/>
              </w:rPr>
              <w:tab/>
            </w:r>
            <w:r w:rsidR="00F16E62">
              <w:rPr>
                <w:noProof/>
                <w:webHidden/>
              </w:rPr>
              <w:fldChar w:fldCharType="begin"/>
            </w:r>
            <w:r w:rsidR="00F16E62">
              <w:rPr>
                <w:noProof/>
                <w:webHidden/>
              </w:rPr>
              <w:instrText xml:space="preserve"> PAGEREF _Toc109812425 \h </w:instrText>
            </w:r>
            <w:r w:rsidR="00F16E62">
              <w:rPr>
                <w:noProof/>
                <w:webHidden/>
              </w:rPr>
            </w:r>
            <w:r w:rsidR="00F16E62">
              <w:rPr>
                <w:noProof/>
                <w:webHidden/>
              </w:rPr>
              <w:fldChar w:fldCharType="separate"/>
            </w:r>
            <w:r w:rsidR="00F16E62">
              <w:rPr>
                <w:noProof/>
                <w:webHidden/>
              </w:rPr>
              <w:t>41</w:t>
            </w:r>
            <w:r w:rsidR="00F16E62">
              <w:rPr>
                <w:noProof/>
                <w:webHidden/>
              </w:rPr>
              <w:fldChar w:fldCharType="end"/>
            </w:r>
          </w:hyperlink>
        </w:p>
        <w:p w14:paraId="3B600A1A" w14:textId="34908EAE" w:rsidR="00F16E62" w:rsidRDefault="00161F7F">
          <w:pPr>
            <w:pStyle w:val="TOC2"/>
            <w:rPr>
              <w:rFonts w:asciiTheme="minorHAnsi" w:hAnsiTheme="minorHAnsi" w:cstheme="minorBidi"/>
              <w:noProof/>
              <w:lang w:val="en-ZA" w:eastAsia="en-ZA"/>
            </w:rPr>
          </w:pPr>
          <w:hyperlink w:anchor="_Toc109812426" w:history="1">
            <w:r w:rsidR="00F16E62" w:rsidRPr="00932F8D">
              <w:rPr>
                <w:rStyle w:val="Hyperlink"/>
                <w:noProof/>
              </w:rPr>
              <w:t>4.11. Are we able to choose different Tier methods on SAGERS for different fuels when reporting?</w:t>
            </w:r>
            <w:r w:rsidR="00F16E62">
              <w:rPr>
                <w:noProof/>
                <w:webHidden/>
              </w:rPr>
              <w:tab/>
            </w:r>
            <w:r w:rsidR="00F16E62">
              <w:rPr>
                <w:noProof/>
                <w:webHidden/>
              </w:rPr>
              <w:fldChar w:fldCharType="begin"/>
            </w:r>
            <w:r w:rsidR="00F16E62">
              <w:rPr>
                <w:noProof/>
                <w:webHidden/>
              </w:rPr>
              <w:instrText xml:space="preserve"> PAGEREF _Toc109812426 \h </w:instrText>
            </w:r>
            <w:r w:rsidR="00F16E62">
              <w:rPr>
                <w:noProof/>
                <w:webHidden/>
              </w:rPr>
            </w:r>
            <w:r w:rsidR="00F16E62">
              <w:rPr>
                <w:noProof/>
                <w:webHidden/>
              </w:rPr>
              <w:fldChar w:fldCharType="separate"/>
            </w:r>
            <w:r w:rsidR="00F16E62">
              <w:rPr>
                <w:noProof/>
                <w:webHidden/>
              </w:rPr>
              <w:t>41</w:t>
            </w:r>
            <w:r w:rsidR="00F16E62">
              <w:rPr>
                <w:noProof/>
                <w:webHidden/>
              </w:rPr>
              <w:fldChar w:fldCharType="end"/>
            </w:r>
          </w:hyperlink>
        </w:p>
        <w:p w14:paraId="6E704A47" w14:textId="0D8F656E" w:rsidR="00F16E62" w:rsidRDefault="00161F7F">
          <w:pPr>
            <w:pStyle w:val="TOC2"/>
            <w:rPr>
              <w:rFonts w:asciiTheme="minorHAnsi" w:hAnsiTheme="minorHAnsi" w:cstheme="minorBidi"/>
              <w:noProof/>
              <w:lang w:val="en-ZA" w:eastAsia="en-ZA"/>
            </w:rPr>
          </w:pPr>
          <w:hyperlink w:anchor="_Toc109812427" w:history="1">
            <w:r w:rsidR="00F16E62" w:rsidRPr="00932F8D">
              <w:rPr>
                <w:rStyle w:val="Hyperlink"/>
                <w:noProof/>
              </w:rPr>
              <w:t>4.12. Is the GHG Report linked to the registration of the company?</w:t>
            </w:r>
            <w:r w:rsidR="00F16E62">
              <w:rPr>
                <w:noProof/>
                <w:webHidden/>
              </w:rPr>
              <w:tab/>
            </w:r>
            <w:r w:rsidR="00F16E62">
              <w:rPr>
                <w:noProof/>
                <w:webHidden/>
              </w:rPr>
              <w:fldChar w:fldCharType="begin"/>
            </w:r>
            <w:r w:rsidR="00F16E62">
              <w:rPr>
                <w:noProof/>
                <w:webHidden/>
              </w:rPr>
              <w:instrText xml:space="preserve"> PAGEREF _Toc109812427 \h </w:instrText>
            </w:r>
            <w:r w:rsidR="00F16E62">
              <w:rPr>
                <w:noProof/>
                <w:webHidden/>
              </w:rPr>
            </w:r>
            <w:r w:rsidR="00F16E62">
              <w:rPr>
                <w:noProof/>
                <w:webHidden/>
              </w:rPr>
              <w:fldChar w:fldCharType="separate"/>
            </w:r>
            <w:r w:rsidR="00F16E62">
              <w:rPr>
                <w:noProof/>
                <w:webHidden/>
              </w:rPr>
              <w:t>41</w:t>
            </w:r>
            <w:r w:rsidR="00F16E62">
              <w:rPr>
                <w:noProof/>
                <w:webHidden/>
              </w:rPr>
              <w:fldChar w:fldCharType="end"/>
            </w:r>
          </w:hyperlink>
        </w:p>
        <w:p w14:paraId="64DE86E4" w14:textId="3309E2AE" w:rsidR="00F16E62" w:rsidRDefault="00161F7F">
          <w:pPr>
            <w:pStyle w:val="TOC2"/>
            <w:rPr>
              <w:rFonts w:asciiTheme="minorHAnsi" w:hAnsiTheme="minorHAnsi" w:cstheme="minorBidi"/>
              <w:noProof/>
              <w:lang w:val="en-ZA" w:eastAsia="en-ZA"/>
            </w:rPr>
          </w:pPr>
          <w:hyperlink w:anchor="_Toc109812428" w:history="1">
            <w:r w:rsidR="00F16E62" w:rsidRPr="00932F8D">
              <w:rPr>
                <w:rStyle w:val="Hyperlink"/>
                <w:noProof/>
              </w:rPr>
              <w:t>4.13. Do I still need to report after I have deregistered the Data Provider/ facility during the previous reporting cycle?</w:t>
            </w:r>
            <w:r w:rsidR="00F16E62">
              <w:rPr>
                <w:noProof/>
                <w:webHidden/>
              </w:rPr>
              <w:tab/>
            </w:r>
            <w:r w:rsidR="00F16E62">
              <w:rPr>
                <w:noProof/>
                <w:webHidden/>
              </w:rPr>
              <w:fldChar w:fldCharType="begin"/>
            </w:r>
            <w:r w:rsidR="00F16E62">
              <w:rPr>
                <w:noProof/>
                <w:webHidden/>
              </w:rPr>
              <w:instrText xml:space="preserve"> PAGEREF _Toc109812428 \h </w:instrText>
            </w:r>
            <w:r w:rsidR="00F16E62">
              <w:rPr>
                <w:noProof/>
                <w:webHidden/>
              </w:rPr>
            </w:r>
            <w:r w:rsidR="00F16E62">
              <w:rPr>
                <w:noProof/>
                <w:webHidden/>
              </w:rPr>
              <w:fldChar w:fldCharType="separate"/>
            </w:r>
            <w:r w:rsidR="00F16E62">
              <w:rPr>
                <w:noProof/>
                <w:webHidden/>
              </w:rPr>
              <w:t>41</w:t>
            </w:r>
            <w:r w:rsidR="00F16E62">
              <w:rPr>
                <w:noProof/>
                <w:webHidden/>
              </w:rPr>
              <w:fldChar w:fldCharType="end"/>
            </w:r>
          </w:hyperlink>
        </w:p>
        <w:p w14:paraId="47E9D7D5" w14:textId="10ECE55E" w:rsidR="00F16E62" w:rsidRDefault="00161F7F">
          <w:pPr>
            <w:pStyle w:val="TOC2"/>
            <w:rPr>
              <w:rFonts w:asciiTheme="minorHAnsi" w:hAnsiTheme="minorHAnsi" w:cstheme="minorBidi"/>
              <w:noProof/>
              <w:lang w:val="en-ZA" w:eastAsia="en-ZA"/>
            </w:rPr>
          </w:pPr>
          <w:hyperlink w:anchor="_Toc109812429" w:history="1">
            <w:r w:rsidR="00F16E62" w:rsidRPr="00932F8D">
              <w:rPr>
                <w:rStyle w:val="Hyperlink"/>
                <w:noProof/>
              </w:rPr>
              <w:t>4.14. Can I deregister a data provider/facility after an executive decision has been made to no longer operate the plant?</w:t>
            </w:r>
            <w:r w:rsidR="00F16E62">
              <w:rPr>
                <w:noProof/>
                <w:webHidden/>
              </w:rPr>
              <w:tab/>
            </w:r>
            <w:r w:rsidR="00F16E62">
              <w:rPr>
                <w:noProof/>
                <w:webHidden/>
              </w:rPr>
              <w:fldChar w:fldCharType="begin"/>
            </w:r>
            <w:r w:rsidR="00F16E62">
              <w:rPr>
                <w:noProof/>
                <w:webHidden/>
              </w:rPr>
              <w:instrText xml:space="preserve"> PAGEREF _Toc109812429 \h </w:instrText>
            </w:r>
            <w:r w:rsidR="00F16E62">
              <w:rPr>
                <w:noProof/>
                <w:webHidden/>
              </w:rPr>
            </w:r>
            <w:r w:rsidR="00F16E62">
              <w:rPr>
                <w:noProof/>
                <w:webHidden/>
              </w:rPr>
              <w:fldChar w:fldCharType="separate"/>
            </w:r>
            <w:r w:rsidR="00F16E62">
              <w:rPr>
                <w:noProof/>
                <w:webHidden/>
              </w:rPr>
              <w:t>42</w:t>
            </w:r>
            <w:r w:rsidR="00F16E62">
              <w:rPr>
                <w:noProof/>
                <w:webHidden/>
              </w:rPr>
              <w:fldChar w:fldCharType="end"/>
            </w:r>
          </w:hyperlink>
        </w:p>
        <w:p w14:paraId="7109DBA5" w14:textId="6BF58D4E" w:rsidR="00F16E62" w:rsidRDefault="00161F7F">
          <w:pPr>
            <w:pStyle w:val="TOC2"/>
            <w:rPr>
              <w:rFonts w:asciiTheme="minorHAnsi" w:hAnsiTheme="minorHAnsi" w:cstheme="minorBidi"/>
              <w:noProof/>
              <w:lang w:val="en-ZA" w:eastAsia="en-ZA"/>
            </w:rPr>
          </w:pPr>
          <w:hyperlink w:anchor="_Toc109812430" w:history="1">
            <w:r w:rsidR="00F16E62" w:rsidRPr="00932F8D">
              <w:rPr>
                <w:rStyle w:val="Hyperlink"/>
                <w:noProof/>
              </w:rPr>
              <w:t>4.15. When reporting emissions from the IPPU Sector Metal Industry, do I need to report emissions from secondary production of metals?</w:t>
            </w:r>
            <w:r w:rsidR="00F16E62">
              <w:rPr>
                <w:noProof/>
                <w:webHidden/>
              </w:rPr>
              <w:tab/>
            </w:r>
            <w:r w:rsidR="00F16E62">
              <w:rPr>
                <w:noProof/>
                <w:webHidden/>
              </w:rPr>
              <w:fldChar w:fldCharType="begin"/>
            </w:r>
            <w:r w:rsidR="00F16E62">
              <w:rPr>
                <w:noProof/>
                <w:webHidden/>
              </w:rPr>
              <w:instrText xml:space="preserve"> PAGEREF _Toc109812430 \h </w:instrText>
            </w:r>
            <w:r w:rsidR="00F16E62">
              <w:rPr>
                <w:noProof/>
                <w:webHidden/>
              </w:rPr>
            </w:r>
            <w:r w:rsidR="00F16E62">
              <w:rPr>
                <w:noProof/>
                <w:webHidden/>
              </w:rPr>
              <w:fldChar w:fldCharType="separate"/>
            </w:r>
            <w:r w:rsidR="00F16E62">
              <w:rPr>
                <w:noProof/>
                <w:webHidden/>
              </w:rPr>
              <w:t>42</w:t>
            </w:r>
            <w:r w:rsidR="00F16E62">
              <w:rPr>
                <w:noProof/>
                <w:webHidden/>
              </w:rPr>
              <w:fldChar w:fldCharType="end"/>
            </w:r>
          </w:hyperlink>
        </w:p>
        <w:p w14:paraId="223C3DE8" w14:textId="1ADD7C51" w:rsidR="00F16E62" w:rsidRDefault="00161F7F">
          <w:pPr>
            <w:pStyle w:val="TOC2"/>
            <w:rPr>
              <w:rFonts w:asciiTheme="minorHAnsi" w:hAnsiTheme="minorHAnsi" w:cstheme="minorBidi"/>
              <w:noProof/>
              <w:lang w:val="en-ZA" w:eastAsia="en-ZA"/>
            </w:rPr>
          </w:pPr>
          <w:hyperlink w:anchor="_Toc109812431" w:history="1">
            <w:r w:rsidR="00F16E62" w:rsidRPr="00932F8D">
              <w:rPr>
                <w:rStyle w:val="Hyperlink"/>
                <w:noProof/>
              </w:rPr>
              <w:t>4.16. When reporting on fugitive emissions from mining, what activity data is expected in the GHG Report when asked for “Amount of coal produced”, does this mean the Run of Mine (ROM) of the coal sold.</w:t>
            </w:r>
            <w:r w:rsidR="00F16E62">
              <w:rPr>
                <w:noProof/>
                <w:webHidden/>
              </w:rPr>
              <w:tab/>
            </w:r>
            <w:r w:rsidR="00F16E62">
              <w:rPr>
                <w:noProof/>
                <w:webHidden/>
              </w:rPr>
              <w:fldChar w:fldCharType="begin"/>
            </w:r>
            <w:r w:rsidR="00F16E62">
              <w:rPr>
                <w:noProof/>
                <w:webHidden/>
              </w:rPr>
              <w:instrText xml:space="preserve"> PAGEREF _Toc109812431 \h </w:instrText>
            </w:r>
            <w:r w:rsidR="00F16E62">
              <w:rPr>
                <w:noProof/>
                <w:webHidden/>
              </w:rPr>
            </w:r>
            <w:r w:rsidR="00F16E62">
              <w:rPr>
                <w:noProof/>
                <w:webHidden/>
              </w:rPr>
              <w:fldChar w:fldCharType="separate"/>
            </w:r>
            <w:r w:rsidR="00F16E62">
              <w:rPr>
                <w:noProof/>
                <w:webHidden/>
              </w:rPr>
              <w:t>42</w:t>
            </w:r>
            <w:r w:rsidR="00F16E62">
              <w:rPr>
                <w:noProof/>
                <w:webHidden/>
              </w:rPr>
              <w:fldChar w:fldCharType="end"/>
            </w:r>
          </w:hyperlink>
        </w:p>
        <w:p w14:paraId="7C1FB595" w14:textId="71B18400" w:rsidR="00F16E62" w:rsidRDefault="00161F7F">
          <w:pPr>
            <w:pStyle w:val="TOC1"/>
            <w:rPr>
              <w:rFonts w:asciiTheme="minorHAnsi" w:eastAsiaTheme="minorEastAsia" w:hAnsiTheme="minorHAnsi"/>
              <w:b w:val="0"/>
              <w:lang w:val="en-ZA" w:eastAsia="en-ZA"/>
            </w:rPr>
          </w:pPr>
          <w:hyperlink w:anchor="_Toc109812432" w:history="1">
            <w:r w:rsidR="00F16E62" w:rsidRPr="00932F8D">
              <w:rPr>
                <w:rStyle w:val="Hyperlink"/>
              </w:rPr>
              <w:t>5. Technical Questions</w:t>
            </w:r>
            <w:r w:rsidR="00F16E62">
              <w:rPr>
                <w:webHidden/>
              </w:rPr>
              <w:tab/>
            </w:r>
            <w:r w:rsidR="00F16E62">
              <w:rPr>
                <w:webHidden/>
              </w:rPr>
              <w:fldChar w:fldCharType="begin"/>
            </w:r>
            <w:r w:rsidR="00F16E62">
              <w:rPr>
                <w:webHidden/>
              </w:rPr>
              <w:instrText xml:space="preserve"> PAGEREF _Toc109812432 \h </w:instrText>
            </w:r>
            <w:r w:rsidR="00F16E62">
              <w:rPr>
                <w:webHidden/>
              </w:rPr>
            </w:r>
            <w:r w:rsidR="00F16E62">
              <w:rPr>
                <w:webHidden/>
              </w:rPr>
              <w:fldChar w:fldCharType="separate"/>
            </w:r>
            <w:r w:rsidR="00F16E62">
              <w:rPr>
                <w:webHidden/>
              </w:rPr>
              <w:t>42</w:t>
            </w:r>
            <w:r w:rsidR="00F16E62">
              <w:rPr>
                <w:webHidden/>
              </w:rPr>
              <w:fldChar w:fldCharType="end"/>
            </w:r>
          </w:hyperlink>
        </w:p>
        <w:p w14:paraId="67862032" w14:textId="7EE45817" w:rsidR="00F16E62" w:rsidRDefault="00161F7F">
          <w:pPr>
            <w:pStyle w:val="TOC2"/>
            <w:rPr>
              <w:rFonts w:asciiTheme="minorHAnsi" w:hAnsiTheme="minorHAnsi" w:cstheme="minorBidi"/>
              <w:noProof/>
              <w:lang w:val="en-ZA" w:eastAsia="en-ZA"/>
            </w:rPr>
          </w:pPr>
          <w:hyperlink w:anchor="_Toc109812433" w:history="1">
            <w:r w:rsidR="00F16E62" w:rsidRPr="00932F8D">
              <w:rPr>
                <w:rStyle w:val="Hyperlink"/>
                <w:noProof/>
              </w:rPr>
              <w:t>5.1.</w:t>
            </w:r>
            <w:r w:rsidR="00F16E62">
              <w:rPr>
                <w:rFonts w:asciiTheme="minorHAnsi" w:hAnsiTheme="minorHAnsi" w:cstheme="minorBidi"/>
                <w:noProof/>
                <w:lang w:val="en-ZA" w:eastAsia="en-ZA"/>
              </w:rPr>
              <w:tab/>
            </w:r>
            <w:r w:rsidR="00F16E62" w:rsidRPr="00932F8D">
              <w:rPr>
                <w:rStyle w:val="Hyperlink"/>
                <w:noProof/>
                <w:lang w:val="en-ZA"/>
              </w:rPr>
              <w:t>Are there any other sequestration guidelines that may be applicable to   unmanaged forest land?</w:t>
            </w:r>
            <w:r w:rsidR="00F16E62">
              <w:rPr>
                <w:noProof/>
                <w:webHidden/>
              </w:rPr>
              <w:tab/>
            </w:r>
            <w:r w:rsidR="00F16E62">
              <w:rPr>
                <w:noProof/>
                <w:webHidden/>
              </w:rPr>
              <w:fldChar w:fldCharType="begin"/>
            </w:r>
            <w:r w:rsidR="00F16E62">
              <w:rPr>
                <w:noProof/>
                <w:webHidden/>
              </w:rPr>
              <w:instrText xml:space="preserve"> PAGEREF _Toc109812433 \h </w:instrText>
            </w:r>
            <w:r w:rsidR="00F16E62">
              <w:rPr>
                <w:noProof/>
                <w:webHidden/>
              </w:rPr>
            </w:r>
            <w:r w:rsidR="00F16E62">
              <w:rPr>
                <w:noProof/>
                <w:webHidden/>
              </w:rPr>
              <w:fldChar w:fldCharType="separate"/>
            </w:r>
            <w:r w:rsidR="00F16E62">
              <w:rPr>
                <w:noProof/>
                <w:webHidden/>
              </w:rPr>
              <w:t>42</w:t>
            </w:r>
            <w:r w:rsidR="00F16E62">
              <w:rPr>
                <w:noProof/>
                <w:webHidden/>
              </w:rPr>
              <w:fldChar w:fldCharType="end"/>
            </w:r>
          </w:hyperlink>
        </w:p>
        <w:p w14:paraId="1F8DFCCD" w14:textId="53C7F91D" w:rsidR="00F16E62" w:rsidRDefault="00161F7F">
          <w:pPr>
            <w:pStyle w:val="TOC2"/>
            <w:rPr>
              <w:rFonts w:asciiTheme="minorHAnsi" w:hAnsiTheme="minorHAnsi" w:cstheme="minorBidi"/>
              <w:noProof/>
              <w:lang w:val="en-ZA" w:eastAsia="en-ZA"/>
            </w:rPr>
          </w:pPr>
          <w:hyperlink w:anchor="_Toc109812434" w:history="1">
            <w:r w:rsidR="00F16E62" w:rsidRPr="00932F8D">
              <w:rPr>
                <w:rStyle w:val="Hyperlink"/>
                <w:noProof/>
              </w:rPr>
              <w:t>5.2.</w:t>
            </w:r>
            <w:r w:rsidR="00F16E62">
              <w:rPr>
                <w:rFonts w:asciiTheme="minorHAnsi" w:hAnsiTheme="minorHAnsi" w:cstheme="minorBidi"/>
                <w:noProof/>
                <w:lang w:val="en-ZA" w:eastAsia="en-ZA"/>
              </w:rPr>
              <w:tab/>
            </w:r>
            <w:r w:rsidR="00F16E62" w:rsidRPr="00932F8D">
              <w:rPr>
                <w:rStyle w:val="Hyperlink"/>
                <w:noProof/>
              </w:rPr>
              <w:t>Do the fruit tree plantations fall within the definition of “Forest”, could they be considered Forest land?</w:t>
            </w:r>
            <w:r w:rsidR="00F16E62">
              <w:rPr>
                <w:noProof/>
                <w:webHidden/>
              </w:rPr>
              <w:tab/>
            </w:r>
            <w:r w:rsidR="00F16E62">
              <w:rPr>
                <w:noProof/>
                <w:webHidden/>
              </w:rPr>
              <w:fldChar w:fldCharType="begin"/>
            </w:r>
            <w:r w:rsidR="00F16E62">
              <w:rPr>
                <w:noProof/>
                <w:webHidden/>
              </w:rPr>
              <w:instrText xml:space="preserve"> PAGEREF _Toc109812434 \h </w:instrText>
            </w:r>
            <w:r w:rsidR="00F16E62">
              <w:rPr>
                <w:noProof/>
                <w:webHidden/>
              </w:rPr>
            </w:r>
            <w:r w:rsidR="00F16E62">
              <w:rPr>
                <w:noProof/>
                <w:webHidden/>
              </w:rPr>
              <w:fldChar w:fldCharType="separate"/>
            </w:r>
            <w:r w:rsidR="00F16E62">
              <w:rPr>
                <w:noProof/>
                <w:webHidden/>
              </w:rPr>
              <w:t>43</w:t>
            </w:r>
            <w:r w:rsidR="00F16E62">
              <w:rPr>
                <w:noProof/>
                <w:webHidden/>
              </w:rPr>
              <w:fldChar w:fldCharType="end"/>
            </w:r>
          </w:hyperlink>
        </w:p>
        <w:p w14:paraId="252807C3" w14:textId="44521EE9" w:rsidR="00F16E62" w:rsidRDefault="00161F7F">
          <w:pPr>
            <w:pStyle w:val="TOC2"/>
            <w:rPr>
              <w:rFonts w:asciiTheme="minorHAnsi" w:hAnsiTheme="minorHAnsi" w:cstheme="minorBidi"/>
              <w:noProof/>
              <w:lang w:val="en-ZA" w:eastAsia="en-ZA"/>
            </w:rPr>
          </w:pPr>
          <w:hyperlink w:anchor="_Toc109812435" w:history="1">
            <w:r w:rsidR="00F16E62" w:rsidRPr="00932F8D">
              <w:rPr>
                <w:rStyle w:val="Hyperlink"/>
                <w:noProof/>
              </w:rPr>
              <w:t>5.3.</w:t>
            </w:r>
            <w:r w:rsidR="00F16E62">
              <w:rPr>
                <w:rFonts w:asciiTheme="minorHAnsi" w:hAnsiTheme="minorHAnsi" w:cstheme="minorBidi"/>
                <w:noProof/>
                <w:lang w:val="en-ZA" w:eastAsia="en-ZA"/>
              </w:rPr>
              <w:tab/>
            </w:r>
            <w:r w:rsidR="00F16E62" w:rsidRPr="00932F8D">
              <w:rPr>
                <w:rStyle w:val="Hyperlink"/>
                <w:noProof/>
              </w:rPr>
              <w:t xml:space="preserve">Do we report emissions from fires on </w:t>
            </w:r>
            <w:r w:rsidR="00F16E62" w:rsidRPr="00932F8D">
              <w:rPr>
                <w:rStyle w:val="Hyperlink"/>
                <w:rFonts w:ascii="Calibri" w:eastAsia="Calibri" w:hAnsi="Calibri" w:cs="Calibri"/>
                <w:noProof/>
                <w:lang w:eastAsia="en-ZA"/>
              </w:rPr>
              <w:t>Temporary unplanted areas?</w:t>
            </w:r>
            <w:r w:rsidR="00F16E62">
              <w:rPr>
                <w:noProof/>
                <w:webHidden/>
              </w:rPr>
              <w:tab/>
            </w:r>
            <w:r w:rsidR="00F16E62">
              <w:rPr>
                <w:noProof/>
                <w:webHidden/>
              </w:rPr>
              <w:fldChar w:fldCharType="begin"/>
            </w:r>
            <w:r w:rsidR="00F16E62">
              <w:rPr>
                <w:noProof/>
                <w:webHidden/>
              </w:rPr>
              <w:instrText xml:space="preserve"> PAGEREF _Toc109812435 \h </w:instrText>
            </w:r>
            <w:r w:rsidR="00F16E62">
              <w:rPr>
                <w:noProof/>
                <w:webHidden/>
              </w:rPr>
            </w:r>
            <w:r w:rsidR="00F16E62">
              <w:rPr>
                <w:noProof/>
                <w:webHidden/>
              </w:rPr>
              <w:fldChar w:fldCharType="separate"/>
            </w:r>
            <w:r w:rsidR="00F16E62">
              <w:rPr>
                <w:noProof/>
                <w:webHidden/>
              </w:rPr>
              <w:t>43</w:t>
            </w:r>
            <w:r w:rsidR="00F16E62">
              <w:rPr>
                <w:noProof/>
                <w:webHidden/>
              </w:rPr>
              <w:fldChar w:fldCharType="end"/>
            </w:r>
          </w:hyperlink>
        </w:p>
        <w:p w14:paraId="0BBE7BAA" w14:textId="2F763CCC" w:rsidR="00F16E62" w:rsidRDefault="00161F7F">
          <w:pPr>
            <w:pStyle w:val="TOC2"/>
            <w:rPr>
              <w:rFonts w:asciiTheme="minorHAnsi" w:hAnsiTheme="minorHAnsi" w:cstheme="minorBidi"/>
              <w:noProof/>
              <w:lang w:val="en-ZA" w:eastAsia="en-ZA"/>
            </w:rPr>
          </w:pPr>
          <w:hyperlink w:anchor="_Toc109812436" w:history="1">
            <w:r w:rsidR="00F16E62" w:rsidRPr="00932F8D">
              <w:rPr>
                <w:rStyle w:val="Hyperlink"/>
                <w:noProof/>
              </w:rPr>
              <w:t>5.4.</w:t>
            </w:r>
            <w:r w:rsidR="00F16E62">
              <w:rPr>
                <w:rFonts w:asciiTheme="minorHAnsi" w:hAnsiTheme="minorHAnsi" w:cstheme="minorBidi"/>
                <w:noProof/>
                <w:lang w:val="en-ZA" w:eastAsia="en-ZA"/>
              </w:rPr>
              <w:tab/>
            </w:r>
            <w:r w:rsidR="00F16E62" w:rsidRPr="00932F8D">
              <w:rPr>
                <w:rStyle w:val="Hyperlink"/>
                <w:noProof/>
                <w:lang w:val="en-ZA"/>
              </w:rPr>
              <w:t>If the company exceeds the threshold, but the wastewater treated is inorganic in nature so does not contain carbon and so would not result in GHG emissions then does the company need to register for this activity or not?</w:t>
            </w:r>
            <w:r w:rsidR="00F16E62">
              <w:rPr>
                <w:noProof/>
                <w:webHidden/>
              </w:rPr>
              <w:tab/>
            </w:r>
            <w:r w:rsidR="00F16E62">
              <w:rPr>
                <w:noProof/>
                <w:webHidden/>
              </w:rPr>
              <w:fldChar w:fldCharType="begin"/>
            </w:r>
            <w:r w:rsidR="00F16E62">
              <w:rPr>
                <w:noProof/>
                <w:webHidden/>
              </w:rPr>
              <w:instrText xml:space="preserve"> PAGEREF _Toc109812436 \h </w:instrText>
            </w:r>
            <w:r w:rsidR="00F16E62">
              <w:rPr>
                <w:noProof/>
                <w:webHidden/>
              </w:rPr>
            </w:r>
            <w:r w:rsidR="00F16E62">
              <w:rPr>
                <w:noProof/>
                <w:webHidden/>
              </w:rPr>
              <w:fldChar w:fldCharType="separate"/>
            </w:r>
            <w:r w:rsidR="00F16E62">
              <w:rPr>
                <w:noProof/>
                <w:webHidden/>
              </w:rPr>
              <w:t>43</w:t>
            </w:r>
            <w:r w:rsidR="00F16E62">
              <w:rPr>
                <w:noProof/>
                <w:webHidden/>
              </w:rPr>
              <w:fldChar w:fldCharType="end"/>
            </w:r>
          </w:hyperlink>
        </w:p>
        <w:p w14:paraId="259AE899" w14:textId="57F42EC3" w:rsidR="00F16E62" w:rsidRDefault="00161F7F">
          <w:pPr>
            <w:pStyle w:val="TOC2"/>
            <w:rPr>
              <w:rFonts w:asciiTheme="minorHAnsi" w:hAnsiTheme="minorHAnsi" w:cstheme="minorBidi"/>
              <w:noProof/>
              <w:lang w:val="en-ZA" w:eastAsia="en-ZA"/>
            </w:rPr>
          </w:pPr>
          <w:hyperlink w:anchor="_Toc109812437" w:history="1">
            <w:r w:rsidR="00F16E62" w:rsidRPr="00932F8D">
              <w:rPr>
                <w:rStyle w:val="Hyperlink"/>
                <w:noProof/>
              </w:rPr>
              <w:t>5.5.</w:t>
            </w:r>
            <w:r w:rsidR="00F16E62">
              <w:rPr>
                <w:rFonts w:asciiTheme="minorHAnsi" w:hAnsiTheme="minorHAnsi" w:cstheme="minorBidi"/>
                <w:noProof/>
                <w:lang w:val="en-ZA" w:eastAsia="en-ZA"/>
              </w:rPr>
              <w:tab/>
            </w:r>
            <w:r w:rsidR="00F16E62" w:rsidRPr="00932F8D">
              <w:rPr>
                <w:rStyle w:val="Hyperlink"/>
                <w:noProof/>
              </w:rPr>
              <w:t>When reporting on the SAGERS system are emissions from mobile combustion (emissions from vehicles) as well as emissions from purchased electricity still excluded from reporting?</w:t>
            </w:r>
            <w:r w:rsidR="00F16E62">
              <w:rPr>
                <w:noProof/>
                <w:webHidden/>
              </w:rPr>
              <w:tab/>
            </w:r>
            <w:r w:rsidR="00F16E62">
              <w:rPr>
                <w:noProof/>
                <w:webHidden/>
              </w:rPr>
              <w:fldChar w:fldCharType="begin"/>
            </w:r>
            <w:r w:rsidR="00F16E62">
              <w:rPr>
                <w:noProof/>
                <w:webHidden/>
              </w:rPr>
              <w:instrText xml:space="preserve"> PAGEREF _Toc109812437 \h </w:instrText>
            </w:r>
            <w:r w:rsidR="00F16E62">
              <w:rPr>
                <w:noProof/>
                <w:webHidden/>
              </w:rPr>
            </w:r>
            <w:r w:rsidR="00F16E62">
              <w:rPr>
                <w:noProof/>
                <w:webHidden/>
              </w:rPr>
              <w:fldChar w:fldCharType="separate"/>
            </w:r>
            <w:r w:rsidR="00F16E62">
              <w:rPr>
                <w:noProof/>
                <w:webHidden/>
              </w:rPr>
              <w:t>43</w:t>
            </w:r>
            <w:r w:rsidR="00F16E62">
              <w:rPr>
                <w:noProof/>
                <w:webHidden/>
              </w:rPr>
              <w:fldChar w:fldCharType="end"/>
            </w:r>
          </w:hyperlink>
        </w:p>
        <w:p w14:paraId="42DA0621" w14:textId="7ED3BE0C" w:rsidR="00F16E62" w:rsidRDefault="00161F7F">
          <w:pPr>
            <w:pStyle w:val="TOC2"/>
            <w:rPr>
              <w:rFonts w:asciiTheme="minorHAnsi" w:hAnsiTheme="minorHAnsi" w:cstheme="minorBidi"/>
              <w:noProof/>
              <w:lang w:val="en-ZA" w:eastAsia="en-ZA"/>
            </w:rPr>
          </w:pPr>
          <w:hyperlink w:anchor="_Toc109812438" w:history="1">
            <w:r w:rsidR="00F16E62" w:rsidRPr="00932F8D">
              <w:rPr>
                <w:rStyle w:val="Hyperlink"/>
                <w:noProof/>
              </w:rPr>
              <w:t>5.6.</w:t>
            </w:r>
            <w:r w:rsidR="00F16E62">
              <w:rPr>
                <w:rFonts w:asciiTheme="minorHAnsi" w:hAnsiTheme="minorHAnsi" w:cstheme="minorBidi"/>
                <w:noProof/>
                <w:lang w:val="en-ZA" w:eastAsia="en-ZA"/>
              </w:rPr>
              <w:tab/>
            </w:r>
            <w:r w:rsidR="00F16E62" w:rsidRPr="00932F8D">
              <w:rPr>
                <w:rStyle w:val="Hyperlink"/>
                <w:noProof/>
              </w:rPr>
              <w:t>Can EPA Method 3C be used for sampling of CO</w:t>
            </w:r>
            <w:r w:rsidR="00F16E62" w:rsidRPr="00932F8D">
              <w:rPr>
                <w:rStyle w:val="Hyperlink"/>
                <w:noProof/>
                <w:vertAlign w:val="subscript"/>
              </w:rPr>
              <w:t xml:space="preserve">2 </w:t>
            </w:r>
            <w:r w:rsidR="00F16E62" w:rsidRPr="00932F8D">
              <w:rPr>
                <w:rStyle w:val="Hyperlink"/>
                <w:noProof/>
              </w:rPr>
              <w:t>&amp; CH</w:t>
            </w:r>
            <w:r w:rsidR="00F16E62" w:rsidRPr="00932F8D">
              <w:rPr>
                <w:rStyle w:val="Hyperlink"/>
                <w:noProof/>
                <w:vertAlign w:val="subscript"/>
              </w:rPr>
              <w:t>4</w:t>
            </w:r>
            <w:r w:rsidR="00F16E62" w:rsidRPr="00932F8D">
              <w:rPr>
                <w:rStyle w:val="Hyperlink"/>
                <w:noProof/>
              </w:rPr>
              <w:t xml:space="preserve"> from coal-fired boiler for the purposes of GHG reporting on SAGERS?</w:t>
            </w:r>
            <w:r w:rsidR="00F16E62">
              <w:rPr>
                <w:noProof/>
                <w:webHidden/>
              </w:rPr>
              <w:tab/>
            </w:r>
            <w:r w:rsidR="00F16E62">
              <w:rPr>
                <w:noProof/>
                <w:webHidden/>
              </w:rPr>
              <w:fldChar w:fldCharType="begin"/>
            </w:r>
            <w:r w:rsidR="00F16E62">
              <w:rPr>
                <w:noProof/>
                <w:webHidden/>
              </w:rPr>
              <w:instrText xml:space="preserve"> PAGEREF _Toc109812438 \h </w:instrText>
            </w:r>
            <w:r w:rsidR="00F16E62">
              <w:rPr>
                <w:noProof/>
                <w:webHidden/>
              </w:rPr>
            </w:r>
            <w:r w:rsidR="00F16E62">
              <w:rPr>
                <w:noProof/>
                <w:webHidden/>
              </w:rPr>
              <w:fldChar w:fldCharType="separate"/>
            </w:r>
            <w:r w:rsidR="00F16E62">
              <w:rPr>
                <w:noProof/>
                <w:webHidden/>
              </w:rPr>
              <w:t>44</w:t>
            </w:r>
            <w:r w:rsidR="00F16E62">
              <w:rPr>
                <w:noProof/>
                <w:webHidden/>
              </w:rPr>
              <w:fldChar w:fldCharType="end"/>
            </w:r>
          </w:hyperlink>
        </w:p>
        <w:p w14:paraId="412A03F1" w14:textId="0B52ECB1" w:rsidR="00F16E62" w:rsidRDefault="00161F7F">
          <w:pPr>
            <w:pStyle w:val="TOC2"/>
            <w:rPr>
              <w:rFonts w:asciiTheme="minorHAnsi" w:hAnsiTheme="minorHAnsi" w:cstheme="minorBidi"/>
              <w:noProof/>
              <w:lang w:val="en-ZA" w:eastAsia="en-ZA"/>
            </w:rPr>
          </w:pPr>
          <w:hyperlink w:anchor="_Toc109812439" w:history="1">
            <w:r w:rsidR="00F16E62" w:rsidRPr="00932F8D">
              <w:rPr>
                <w:rStyle w:val="Hyperlink"/>
                <w:rFonts w:eastAsia="Calibri" w:cs="Arial"/>
                <w:noProof/>
              </w:rPr>
              <w:t>5.7.</w:t>
            </w:r>
            <w:r w:rsidR="00F16E62">
              <w:rPr>
                <w:rFonts w:asciiTheme="minorHAnsi" w:hAnsiTheme="minorHAnsi" w:cstheme="minorBidi"/>
                <w:noProof/>
                <w:lang w:val="en-ZA" w:eastAsia="en-ZA"/>
              </w:rPr>
              <w:tab/>
            </w:r>
            <w:r w:rsidR="00F16E62" w:rsidRPr="00932F8D">
              <w:rPr>
                <w:rStyle w:val="Hyperlink"/>
                <w:noProof/>
              </w:rPr>
              <w:t>A foundry produces iron castings, aluminium, zinc, brass and bronze. The aluminium gets melted and casted, they do not add anodes to their process.</w:t>
            </w:r>
            <w:r w:rsidR="00F16E62">
              <w:rPr>
                <w:noProof/>
                <w:webHidden/>
              </w:rPr>
              <w:tab/>
            </w:r>
            <w:r w:rsidR="00F16E62">
              <w:rPr>
                <w:noProof/>
                <w:webHidden/>
              </w:rPr>
              <w:fldChar w:fldCharType="begin"/>
            </w:r>
            <w:r w:rsidR="00F16E62">
              <w:rPr>
                <w:noProof/>
                <w:webHidden/>
              </w:rPr>
              <w:instrText xml:space="preserve"> PAGEREF _Toc109812439 \h </w:instrText>
            </w:r>
            <w:r w:rsidR="00F16E62">
              <w:rPr>
                <w:noProof/>
                <w:webHidden/>
              </w:rPr>
            </w:r>
            <w:r w:rsidR="00F16E62">
              <w:rPr>
                <w:noProof/>
                <w:webHidden/>
              </w:rPr>
              <w:fldChar w:fldCharType="separate"/>
            </w:r>
            <w:r w:rsidR="00F16E62">
              <w:rPr>
                <w:noProof/>
                <w:webHidden/>
              </w:rPr>
              <w:t>44</w:t>
            </w:r>
            <w:r w:rsidR="00F16E62">
              <w:rPr>
                <w:noProof/>
                <w:webHidden/>
              </w:rPr>
              <w:fldChar w:fldCharType="end"/>
            </w:r>
          </w:hyperlink>
        </w:p>
        <w:p w14:paraId="03E61A3C" w14:textId="670DBDDE" w:rsidR="00F16E62" w:rsidRDefault="00161F7F">
          <w:pPr>
            <w:pStyle w:val="TOC3"/>
            <w:tabs>
              <w:tab w:val="left" w:pos="1320"/>
              <w:tab w:val="right" w:leader="dot" w:pos="8273"/>
            </w:tabs>
            <w:rPr>
              <w:rFonts w:asciiTheme="minorHAnsi" w:hAnsiTheme="minorHAnsi" w:cstheme="minorBidi"/>
              <w:noProof/>
              <w:lang w:val="en-ZA" w:eastAsia="en-ZA"/>
            </w:rPr>
          </w:pPr>
          <w:hyperlink w:anchor="_Toc109812440" w:history="1">
            <w:r w:rsidR="00F16E62" w:rsidRPr="00932F8D">
              <w:rPr>
                <w:rStyle w:val="Hyperlink"/>
                <w:rFonts w:eastAsia="Arial Narrow" w:cs="Arial Narrow"/>
                <w:noProof/>
              </w:rPr>
              <w:t>5.7.1.</w:t>
            </w:r>
            <w:r w:rsidR="00F16E62">
              <w:rPr>
                <w:rFonts w:asciiTheme="minorHAnsi" w:hAnsiTheme="minorHAnsi" w:cstheme="minorBidi"/>
                <w:noProof/>
                <w:lang w:val="en-ZA" w:eastAsia="en-ZA"/>
              </w:rPr>
              <w:tab/>
            </w:r>
            <w:r w:rsidR="00F16E62" w:rsidRPr="00932F8D">
              <w:rPr>
                <w:rStyle w:val="Hyperlink"/>
                <w:rFonts w:eastAsia="Arial Narrow" w:cs="Arial Narrow"/>
                <w:noProof/>
              </w:rPr>
              <w:t>Should the foundry register for 2C3 - Aluminium production?</w:t>
            </w:r>
            <w:r w:rsidR="00F16E62">
              <w:rPr>
                <w:noProof/>
                <w:webHidden/>
              </w:rPr>
              <w:tab/>
            </w:r>
            <w:r w:rsidR="00F16E62">
              <w:rPr>
                <w:noProof/>
                <w:webHidden/>
              </w:rPr>
              <w:fldChar w:fldCharType="begin"/>
            </w:r>
            <w:r w:rsidR="00F16E62">
              <w:rPr>
                <w:noProof/>
                <w:webHidden/>
              </w:rPr>
              <w:instrText xml:space="preserve"> PAGEREF _Toc109812440 \h </w:instrText>
            </w:r>
            <w:r w:rsidR="00F16E62">
              <w:rPr>
                <w:noProof/>
                <w:webHidden/>
              </w:rPr>
            </w:r>
            <w:r w:rsidR="00F16E62">
              <w:rPr>
                <w:noProof/>
                <w:webHidden/>
              </w:rPr>
              <w:fldChar w:fldCharType="separate"/>
            </w:r>
            <w:r w:rsidR="00F16E62">
              <w:rPr>
                <w:noProof/>
                <w:webHidden/>
              </w:rPr>
              <w:t>44</w:t>
            </w:r>
            <w:r w:rsidR="00F16E62">
              <w:rPr>
                <w:noProof/>
                <w:webHidden/>
              </w:rPr>
              <w:fldChar w:fldCharType="end"/>
            </w:r>
          </w:hyperlink>
        </w:p>
        <w:p w14:paraId="2D890F91" w14:textId="5ED0A4D9" w:rsidR="00F16E62" w:rsidRDefault="00161F7F">
          <w:pPr>
            <w:pStyle w:val="TOC3"/>
            <w:tabs>
              <w:tab w:val="left" w:pos="1320"/>
              <w:tab w:val="right" w:leader="dot" w:pos="8273"/>
            </w:tabs>
            <w:rPr>
              <w:rFonts w:asciiTheme="minorHAnsi" w:hAnsiTheme="minorHAnsi" w:cstheme="minorBidi"/>
              <w:noProof/>
              <w:lang w:val="en-ZA" w:eastAsia="en-ZA"/>
            </w:rPr>
          </w:pPr>
          <w:hyperlink w:anchor="_Toc109812441" w:history="1">
            <w:r w:rsidR="00F16E62" w:rsidRPr="00932F8D">
              <w:rPr>
                <w:rStyle w:val="Hyperlink"/>
                <w:rFonts w:eastAsia="Arial Narrow" w:cs="Arial Narrow"/>
                <w:noProof/>
              </w:rPr>
              <w:t>5.7.2.</w:t>
            </w:r>
            <w:r w:rsidR="00F16E62">
              <w:rPr>
                <w:rFonts w:asciiTheme="minorHAnsi" w:hAnsiTheme="minorHAnsi" w:cstheme="minorBidi"/>
                <w:noProof/>
                <w:lang w:val="en-ZA" w:eastAsia="en-ZA"/>
              </w:rPr>
              <w:tab/>
            </w:r>
            <w:r w:rsidR="00F16E62" w:rsidRPr="00932F8D">
              <w:rPr>
                <w:rStyle w:val="Hyperlink"/>
                <w:rFonts w:eastAsia="Arial Narrow" w:cs="Arial Narrow"/>
                <w:noProof/>
              </w:rPr>
              <w:t>If 2C3 Aluminium production should be excluded, should we still report on the HFO fuel combusted when melting the Aluminium?</w:t>
            </w:r>
            <w:r w:rsidR="00F16E62">
              <w:rPr>
                <w:noProof/>
                <w:webHidden/>
              </w:rPr>
              <w:tab/>
            </w:r>
            <w:r w:rsidR="00F16E62">
              <w:rPr>
                <w:noProof/>
                <w:webHidden/>
              </w:rPr>
              <w:fldChar w:fldCharType="begin"/>
            </w:r>
            <w:r w:rsidR="00F16E62">
              <w:rPr>
                <w:noProof/>
                <w:webHidden/>
              </w:rPr>
              <w:instrText xml:space="preserve"> PAGEREF _Toc109812441 \h </w:instrText>
            </w:r>
            <w:r w:rsidR="00F16E62">
              <w:rPr>
                <w:noProof/>
                <w:webHidden/>
              </w:rPr>
            </w:r>
            <w:r w:rsidR="00F16E62">
              <w:rPr>
                <w:noProof/>
                <w:webHidden/>
              </w:rPr>
              <w:fldChar w:fldCharType="separate"/>
            </w:r>
            <w:r w:rsidR="00F16E62">
              <w:rPr>
                <w:noProof/>
                <w:webHidden/>
              </w:rPr>
              <w:t>44</w:t>
            </w:r>
            <w:r w:rsidR="00F16E62">
              <w:rPr>
                <w:noProof/>
                <w:webHidden/>
              </w:rPr>
              <w:fldChar w:fldCharType="end"/>
            </w:r>
          </w:hyperlink>
        </w:p>
        <w:p w14:paraId="7E27081C" w14:textId="0445E6E9" w:rsidR="00F16E62" w:rsidRDefault="00161F7F">
          <w:pPr>
            <w:pStyle w:val="TOC2"/>
            <w:rPr>
              <w:rFonts w:asciiTheme="minorHAnsi" w:hAnsiTheme="minorHAnsi" w:cstheme="minorBidi"/>
              <w:noProof/>
              <w:lang w:val="en-ZA" w:eastAsia="en-ZA"/>
            </w:rPr>
          </w:pPr>
          <w:hyperlink w:anchor="_Toc109812442" w:history="1">
            <w:r w:rsidR="00F16E62" w:rsidRPr="00932F8D">
              <w:rPr>
                <w:rStyle w:val="Hyperlink"/>
                <w:rFonts w:eastAsia="Calibri" w:cs="Arial"/>
                <w:noProof/>
              </w:rPr>
              <w:t>5.8.</w:t>
            </w:r>
            <w:r w:rsidR="00F16E62">
              <w:rPr>
                <w:rFonts w:asciiTheme="minorHAnsi" w:hAnsiTheme="minorHAnsi" w:cstheme="minorBidi"/>
                <w:noProof/>
                <w:lang w:val="en-ZA" w:eastAsia="en-ZA"/>
              </w:rPr>
              <w:tab/>
            </w:r>
            <w:r w:rsidR="00F16E62" w:rsidRPr="00932F8D">
              <w:rPr>
                <w:rStyle w:val="Hyperlink"/>
                <w:noProof/>
              </w:rPr>
              <w:t>Does a foundry casting steel, iron, etc. using an induction furnace have to register and report GHG emissions?</w:t>
            </w:r>
            <w:r w:rsidR="00F16E62">
              <w:rPr>
                <w:noProof/>
                <w:webHidden/>
              </w:rPr>
              <w:tab/>
            </w:r>
            <w:r w:rsidR="00F16E62">
              <w:rPr>
                <w:noProof/>
                <w:webHidden/>
              </w:rPr>
              <w:fldChar w:fldCharType="begin"/>
            </w:r>
            <w:r w:rsidR="00F16E62">
              <w:rPr>
                <w:noProof/>
                <w:webHidden/>
              </w:rPr>
              <w:instrText xml:space="preserve"> PAGEREF _Toc109812442 \h </w:instrText>
            </w:r>
            <w:r w:rsidR="00F16E62">
              <w:rPr>
                <w:noProof/>
                <w:webHidden/>
              </w:rPr>
            </w:r>
            <w:r w:rsidR="00F16E62">
              <w:rPr>
                <w:noProof/>
                <w:webHidden/>
              </w:rPr>
              <w:fldChar w:fldCharType="separate"/>
            </w:r>
            <w:r w:rsidR="00F16E62">
              <w:rPr>
                <w:noProof/>
                <w:webHidden/>
              </w:rPr>
              <w:t>44</w:t>
            </w:r>
            <w:r w:rsidR="00F16E62">
              <w:rPr>
                <w:noProof/>
                <w:webHidden/>
              </w:rPr>
              <w:fldChar w:fldCharType="end"/>
            </w:r>
          </w:hyperlink>
        </w:p>
        <w:p w14:paraId="3A6F2397" w14:textId="6B8684B5" w:rsidR="00F16E62" w:rsidRDefault="00161F7F">
          <w:pPr>
            <w:pStyle w:val="TOC2"/>
            <w:rPr>
              <w:rFonts w:asciiTheme="minorHAnsi" w:hAnsiTheme="minorHAnsi" w:cstheme="minorBidi"/>
              <w:noProof/>
              <w:lang w:val="en-ZA" w:eastAsia="en-ZA"/>
            </w:rPr>
          </w:pPr>
          <w:hyperlink w:anchor="_Toc109812443" w:history="1">
            <w:r w:rsidR="00F16E62" w:rsidRPr="00932F8D">
              <w:rPr>
                <w:rStyle w:val="Hyperlink"/>
                <w:noProof/>
                <w:lang w:val="en-ZA"/>
              </w:rPr>
              <w:t>5.9.</w:t>
            </w:r>
            <w:r w:rsidR="00F16E62">
              <w:rPr>
                <w:rFonts w:asciiTheme="minorHAnsi" w:hAnsiTheme="minorHAnsi" w:cstheme="minorBidi"/>
                <w:noProof/>
                <w:lang w:val="en-ZA" w:eastAsia="en-ZA"/>
              </w:rPr>
              <w:tab/>
            </w:r>
            <w:r w:rsidR="00F16E62" w:rsidRPr="00932F8D">
              <w:rPr>
                <w:rStyle w:val="Hyperlink"/>
                <w:noProof/>
              </w:rPr>
              <w:t>Treatment of emissions from secondary steel production when electric arc furnaces are used.</w:t>
            </w:r>
            <w:r w:rsidR="00F16E62">
              <w:rPr>
                <w:noProof/>
                <w:webHidden/>
              </w:rPr>
              <w:tab/>
            </w:r>
            <w:r w:rsidR="00F16E62">
              <w:rPr>
                <w:noProof/>
                <w:webHidden/>
              </w:rPr>
              <w:fldChar w:fldCharType="begin"/>
            </w:r>
            <w:r w:rsidR="00F16E62">
              <w:rPr>
                <w:noProof/>
                <w:webHidden/>
              </w:rPr>
              <w:instrText xml:space="preserve"> PAGEREF _Toc109812443 \h </w:instrText>
            </w:r>
            <w:r w:rsidR="00F16E62">
              <w:rPr>
                <w:noProof/>
                <w:webHidden/>
              </w:rPr>
            </w:r>
            <w:r w:rsidR="00F16E62">
              <w:rPr>
                <w:noProof/>
                <w:webHidden/>
              </w:rPr>
              <w:fldChar w:fldCharType="separate"/>
            </w:r>
            <w:r w:rsidR="00F16E62">
              <w:rPr>
                <w:noProof/>
                <w:webHidden/>
              </w:rPr>
              <w:t>45</w:t>
            </w:r>
            <w:r w:rsidR="00F16E62">
              <w:rPr>
                <w:noProof/>
                <w:webHidden/>
              </w:rPr>
              <w:fldChar w:fldCharType="end"/>
            </w:r>
          </w:hyperlink>
        </w:p>
        <w:p w14:paraId="54B536CA" w14:textId="7934F612" w:rsidR="00F16E62" w:rsidRDefault="00161F7F">
          <w:pPr>
            <w:pStyle w:val="TOC2"/>
            <w:rPr>
              <w:rFonts w:asciiTheme="minorHAnsi" w:hAnsiTheme="minorHAnsi" w:cstheme="minorBidi"/>
              <w:noProof/>
              <w:lang w:val="en-ZA" w:eastAsia="en-ZA"/>
            </w:rPr>
          </w:pPr>
          <w:hyperlink w:anchor="_Toc109812444" w:history="1">
            <w:r w:rsidR="00F16E62" w:rsidRPr="00932F8D">
              <w:rPr>
                <w:rStyle w:val="Hyperlink"/>
                <w:noProof/>
              </w:rPr>
              <w:t>5.10.</w:t>
            </w:r>
            <w:r w:rsidR="00F16E62">
              <w:rPr>
                <w:rFonts w:asciiTheme="minorHAnsi" w:hAnsiTheme="minorHAnsi" w:cstheme="minorBidi"/>
                <w:noProof/>
                <w:lang w:val="en-ZA" w:eastAsia="en-ZA"/>
              </w:rPr>
              <w:tab/>
            </w:r>
            <w:r w:rsidR="00F16E62" w:rsidRPr="00932F8D">
              <w:rPr>
                <w:rStyle w:val="Hyperlink"/>
                <w:noProof/>
              </w:rPr>
              <w:t>I am using non- carbonaceous clay with an insignificant carbon content to manufacture bricks do I need to report process emissions?</w:t>
            </w:r>
            <w:r w:rsidR="00F16E62">
              <w:rPr>
                <w:noProof/>
                <w:webHidden/>
              </w:rPr>
              <w:tab/>
            </w:r>
            <w:r w:rsidR="00F16E62">
              <w:rPr>
                <w:noProof/>
                <w:webHidden/>
              </w:rPr>
              <w:fldChar w:fldCharType="begin"/>
            </w:r>
            <w:r w:rsidR="00F16E62">
              <w:rPr>
                <w:noProof/>
                <w:webHidden/>
              </w:rPr>
              <w:instrText xml:space="preserve"> PAGEREF _Toc109812444 \h </w:instrText>
            </w:r>
            <w:r w:rsidR="00F16E62">
              <w:rPr>
                <w:noProof/>
                <w:webHidden/>
              </w:rPr>
            </w:r>
            <w:r w:rsidR="00F16E62">
              <w:rPr>
                <w:noProof/>
                <w:webHidden/>
              </w:rPr>
              <w:fldChar w:fldCharType="separate"/>
            </w:r>
            <w:r w:rsidR="00F16E62">
              <w:rPr>
                <w:noProof/>
                <w:webHidden/>
              </w:rPr>
              <w:t>45</w:t>
            </w:r>
            <w:r w:rsidR="00F16E62">
              <w:rPr>
                <w:noProof/>
                <w:webHidden/>
              </w:rPr>
              <w:fldChar w:fldCharType="end"/>
            </w:r>
          </w:hyperlink>
        </w:p>
        <w:p w14:paraId="4703C28B" w14:textId="7684CFEA" w:rsidR="00F16E62" w:rsidRDefault="00161F7F">
          <w:pPr>
            <w:pStyle w:val="TOC2"/>
            <w:rPr>
              <w:rFonts w:asciiTheme="minorHAnsi" w:hAnsiTheme="minorHAnsi" w:cstheme="minorBidi"/>
              <w:noProof/>
              <w:lang w:val="en-ZA" w:eastAsia="en-ZA"/>
            </w:rPr>
          </w:pPr>
          <w:hyperlink w:anchor="_Toc109812445" w:history="1">
            <w:r w:rsidR="00F16E62" w:rsidRPr="00932F8D">
              <w:rPr>
                <w:rStyle w:val="Hyperlink"/>
                <w:rFonts w:eastAsia="Calibri" w:cs="Arial"/>
                <w:noProof/>
              </w:rPr>
              <w:t>5.12.</w:t>
            </w:r>
            <w:r w:rsidR="00F16E62">
              <w:rPr>
                <w:rFonts w:asciiTheme="minorHAnsi" w:hAnsiTheme="minorHAnsi" w:cstheme="minorBidi"/>
                <w:noProof/>
                <w:lang w:val="en-ZA" w:eastAsia="en-ZA"/>
              </w:rPr>
              <w:tab/>
            </w:r>
            <w:r w:rsidR="00F16E62" w:rsidRPr="00932F8D">
              <w:rPr>
                <w:rStyle w:val="Hyperlink"/>
                <w:noProof/>
              </w:rPr>
              <w:t>Recycled oil is used in our production process, what calorific value and emission factors should be used when reporting on this fuel?</w:t>
            </w:r>
            <w:r w:rsidR="00F16E62">
              <w:rPr>
                <w:noProof/>
                <w:webHidden/>
              </w:rPr>
              <w:tab/>
            </w:r>
            <w:r w:rsidR="00F16E62">
              <w:rPr>
                <w:noProof/>
                <w:webHidden/>
              </w:rPr>
              <w:fldChar w:fldCharType="begin"/>
            </w:r>
            <w:r w:rsidR="00F16E62">
              <w:rPr>
                <w:noProof/>
                <w:webHidden/>
              </w:rPr>
              <w:instrText xml:space="preserve"> PAGEREF _Toc109812445 \h </w:instrText>
            </w:r>
            <w:r w:rsidR="00F16E62">
              <w:rPr>
                <w:noProof/>
                <w:webHidden/>
              </w:rPr>
            </w:r>
            <w:r w:rsidR="00F16E62">
              <w:rPr>
                <w:noProof/>
                <w:webHidden/>
              </w:rPr>
              <w:fldChar w:fldCharType="separate"/>
            </w:r>
            <w:r w:rsidR="00F16E62">
              <w:rPr>
                <w:noProof/>
                <w:webHidden/>
              </w:rPr>
              <w:t>46</w:t>
            </w:r>
            <w:r w:rsidR="00F16E62">
              <w:rPr>
                <w:noProof/>
                <w:webHidden/>
              </w:rPr>
              <w:fldChar w:fldCharType="end"/>
            </w:r>
          </w:hyperlink>
        </w:p>
        <w:p w14:paraId="764B1C32" w14:textId="28FCB44E" w:rsidR="00F16E62" w:rsidRDefault="00161F7F">
          <w:pPr>
            <w:pStyle w:val="TOC2"/>
            <w:rPr>
              <w:rFonts w:asciiTheme="minorHAnsi" w:hAnsiTheme="minorHAnsi" w:cstheme="minorBidi"/>
              <w:noProof/>
              <w:lang w:val="en-ZA" w:eastAsia="en-ZA"/>
            </w:rPr>
          </w:pPr>
          <w:hyperlink w:anchor="_Toc109812446" w:history="1">
            <w:r w:rsidR="00F16E62" w:rsidRPr="00932F8D">
              <w:rPr>
                <w:rStyle w:val="Hyperlink"/>
                <w:noProof/>
                <w:lang w:val="en-ZA"/>
              </w:rPr>
              <w:t>5.13.</w:t>
            </w:r>
            <w:r w:rsidR="00F16E62">
              <w:rPr>
                <w:rFonts w:asciiTheme="minorHAnsi" w:hAnsiTheme="minorHAnsi" w:cstheme="minorBidi"/>
                <w:noProof/>
                <w:lang w:val="en-ZA" w:eastAsia="en-ZA"/>
              </w:rPr>
              <w:tab/>
            </w:r>
            <w:r w:rsidR="00F16E62" w:rsidRPr="00932F8D">
              <w:rPr>
                <w:rStyle w:val="Hyperlink"/>
                <w:noProof/>
              </w:rPr>
              <w:t xml:space="preserve">We </w:t>
            </w:r>
            <w:r w:rsidR="00F16E62" w:rsidRPr="00932F8D">
              <w:rPr>
                <w:rStyle w:val="Hyperlink"/>
                <w:noProof/>
                <w:lang w:val="en-ZA"/>
              </w:rPr>
              <w:t>I received analyses for my coal from a laboratory. Which value should I use for the NCV: “As Received”, “Air Dried” or “Dried”?</w:t>
            </w:r>
            <w:r w:rsidR="00F16E62">
              <w:rPr>
                <w:noProof/>
                <w:webHidden/>
              </w:rPr>
              <w:tab/>
            </w:r>
            <w:r w:rsidR="00F16E62">
              <w:rPr>
                <w:noProof/>
                <w:webHidden/>
              </w:rPr>
              <w:fldChar w:fldCharType="begin"/>
            </w:r>
            <w:r w:rsidR="00F16E62">
              <w:rPr>
                <w:noProof/>
                <w:webHidden/>
              </w:rPr>
              <w:instrText xml:space="preserve"> PAGEREF _Toc109812446 \h </w:instrText>
            </w:r>
            <w:r w:rsidR="00F16E62">
              <w:rPr>
                <w:noProof/>
                <w:webHidden/>
              </w:rPr>
            </w:r>
            <w:r w:rsidR="00F16E62">
              <w:rPr>
                <w:noProof/>
                <w:webHidden/>
              </w:rPr>
              <w:fldChar w:fldCharType="separate"/>
            </w:r>
            <w:r w:rsidR="00F16E62">
              <w:rPr>
                <w:noProof/>
                <w:webHidden/>
              </w:rPr>
              <w:t>46</w:t>
            </w:r>
            <w:r w:rsidR="00F16E62">
              <w:rPr>
                <w:noProof/>
                <w:webHidden/>
              </w:rPr>
              <w:fldChar w:fldCharType="end"/>
            </w:r>
          </w:hyperlink>
        </w:p>
        <w:p w14:paraId="3A8591DE" w14:textId="44717849" w:rsidR="00F16E62" w:rsidRDefault="00161F7F">
          <w:pPr>
            <w:pStyle w:val="TOC2"/>
            <w:rPr>
              <w:rFonts w:asciiTheme="minorHAnsi" w:hAnsiTheme="minorHAnsi" w:cstheme="minorBidi"/>
              <w:noProof/>
              <w:lang w:val="en-ZA" w:eastAsia="en-ZA"/>
            </w:rPr>
          </w:pPr>
          <w:hyperlink w:anchor="_Toc109812447" w:history="1">
            <w:r w:rsidR="00F16E62" w:rsidRPr="00932F8D">
              <w:rPr>
                <w:rStyle w:val="Hyperlink"/>
                <w:noProof/>
                <w:lang w:val="en-ZA"/>
              </w:rPr>
              <w:t>5.14.</w:t>
            </w:r>
            <w:r w:rsidR="00F16E62">
              <w:rPr>
                <w:rFonts w:asciiTheme="minorHAnsi" w:hAnsiTheme="minorHAnsi" w:cstheme="minorBidi"/>
                <w:noProof/>
                <w:lang w:val="en-ZA" w:eastAsia="en-ZA"/>
              </w:rPr>
              <w:tab/>
            </w:r>
            <w:r w:rsidR="00F16E62" w:rsidRPr="00932F8D">
              <w:rPr>
                <w:rStyle w:val="Hyperlink"/>
                <w:noProof/>
              </w:rPr>
              <w:t xml:space="preserve">Which </w:t>
            </w:r>
            <w:r w:rsidR="00F16E62" w:rsidRPr="00932F8D">
              <w:rPr>
                <w:rStyle w:val="Hyperlink"/>
                <w:noProof/>
                <w:lang w:val="en-ZA"/>
              </w:rPr>
              <w:t>value must be used for NCV: higher heating value (or Gross Calorific Value - GCV) or lower heating value (or Net Calorific Value - NCV)?</w:t>
            </w:r>
            <w:r w:rsidR="00F16E62">
              <w:rPr>
                <w:noProof/>
                <w:webHidden/>
              </w:rPr>
              <w:tab/>
            </w:r>
            <w:r w:rsidR="00F16E62">
              <w:rPr>
                <w:noProof/>
                <w:webHidden/>
              </w:rPr>
              <w:fldChar w:fldCharType="begin"/>
            </w:r>
            <w:r w:rsidR="00F16E62">
              <w:rPr>
                <w:noProof/>
                <w:webHidden/>
              </w:rPr>
              <w:instrText xml:space="preserve"> PAGEREF _Toc109812447 \h </w:instrText>
            </w:r>
            <w:r w:rsidR="00F16E62">
              <w:rPr>
                <w:noProof/>
                <w:webHidden/>
              </w:rPr>
            </w:r>
            <w:r w:rsidR="00F16E62">
              <w:rPr>
                <w:noProof/>
                <w:webHidden/>
              </w:rPr>
              <w:fldChar w:fldCharType="separate"/>
            </w:r>
            <w:r w:rsidR="00F16E62">
              <w:rPr>
                <w:noProof/>
                <w:webHidden/>
              </w:rPr>
              <w:t>46</w:t>
            </w:r>
            <w:r w:rsidR="00F16E62">
              <w:rPr>
                <w:noProof/>
                <w:webHidden/>
              </w:rPr>
              <w:fldChar w:fldCharType="end"/>
            </w:r>
          </w:hyperlink>
        </w:p>
        <w:p w14:paraId="3139B41C" w14:textId="698F361D" w:rsidR="00F16E62" w:rsidRDefault="00161F7F">
          <w:pPr>
            <w:pStyle w:val="TOC2"/>
            <w:rPr>
              <w:rFonts w:asciiTheme="minorHAnsi" w:hAnsiTheme="minorHAnsi" w:cstheme="minorBidi"/>
              <w:noProof/>
              <w:lang w:val="en-ZA" w:eastAsia="en-ZA"/>
            </w:rPr>
          </w:pPr>
          <w:hyperlink w:anchor="_Toc109812448" w:history="1">
            <w:r w:rsidR="00F16E62" w:rsidRPr="00932F8D">
              <w:rPr>
                <w:rStyle w:val="Hyperlink"/>
                <w:noProof/>
              </w:rPr>
              <w:t>5.15.</w:t>
            </w:r>
            <w:r w:rsidR="00F16E62">
              <w:rPr>
                <w:rFonts w:asciiTheme="minorHAnsi" w:hAnsiTheme="minorHAnsi" w:cstheme="minorBidi"/>
                <w:noProof/>
                <w:lang w:val="en-ZA" w:eastAsia="en-ZA"/>
              </w:rPr>
              <w:tab/>
            </w:r>
            <w:r w:rsidR="00F16E62" w:rsidRPr="00932F8D">
              <w:rPr>
                <w:rStyle w:val="Hyperlink"/>
                <w:noProof/>
              </w:rPr>
              <w:t>A client of ours burns waste tyres as part of the production process. From the National Treasury Budget 2021, we gather that this is exempt from carbon tax for this year as there are no emission factors available (see attached on page 151).</w:t>
            </w:r>
            <w:r w:rsidR="00F16E62">
              <w:rPr>
                <w:noProof/>
                <w:webHidden/>
              </w:rPr>
              <w:tab/>
            </w:r>
            <w:r w:rsidR="00F16E62">
              <w:rPr>
                <w:noProof/>
                <w:webHidden/>
              </w:rPr>
              <w:fldChar w:fldCharType="begin"/>
            </w:r>
            <w:r w:rsidR="00F16E62">
              <w:rPr>
                <w:noProof/>
                <w:webHidden/>
              </w:rPr>
              <w:instrText xml:space="preserve"> PAGEREF _Toc109812448 \h </w:instrText>
            </w:r>
            <w:r w:rsidR="00F16E62">
              <w:rPr>
                <w:noProof/>
                <w:webHidden/>
              </w:rPr>
            </w:r>
            <w:r w:rsidR="00F16E62">
              <w:rPr>
                <w:noProof/>
                <w:webHidden/>
              </w:rPr>
              <w:fldChar w:fldCharType="separate"/>
            </w:r>
            <w:r w:rsidR="00F16E62">
              <w:rPr>
                <w:noProof/>
                <w:webHidden/>
              </w:rPr>
              <w:t>46</w:t>
            </w:r>
            <w:r w:rsidR="00F16E62">
              <w:rPr>
                <w:noProof/>
                <w:webHidden/>
              </w:rPr>
              <w:fldChar w:fldCharType="end"/>
            </w:r>
          </w:hyperlink>
        </w:p>
        <w:p w14:paraId="0DBF746F" w14:textId="2353D637" w:rsidR="00F16E62" w:rsidRDefault="00161F7F">
          <w:pPr>
            <w:pStyle w:val="TOC2"/>
            <w:rPr>
              <w:rFonts w:asciiTheme="minorHAnsi" w:hAnsiTheme="minorHAnsi" w:cstheme="minorBidi"/>
              <w:noProof/>
              <w:lang w:val="en-ZA" w:eastAsia="en-ZA"/>
            </w:rPr>
          </w:pPr>
          <w:hyperlink w:anchor="_Toc109812449" w:history="1">
            <w:r w:rsidR="00F16E62" w:rsidRPr="00932F8D">
              <w:rPr>
                <w:rStyle w:val="Hyperlink"/>
                <w:rFonts w:eastAsia="Calibri" w:cs="Arial"/>
                <w:noProof/>
              </w:rPr>
              <w:t>5.17.</w:t>
            </w:r>
            <w:r w:rsidR="00F16E62">
              <w:rPr>
                <w:rFonts w:asciiTheme="minorHAnsi" w:hAnsiTheme="minorHAnsi" w:cstheme="minorBidi"/>
                <w:noProof/>
                <w:lang w:val="en-ZA" w:eastAsia="en-ZA"/>
              </w:rPr>
              <w:tab/>
            </w:r>
            <w:r w:rsidR="00F16E62" w:rsidRPr="00932F8D">
              <w:rPr>
                <w:rStyle w:val="Hyperlink"/>
                <w:noProof/>
              </w:rPr>
              <w:t>Will the SA Emission Factors be published in time for the March 2023 GHG reporting cycle? Or can I assume that we’ll need to use Tier 3, mass balance, etc. methods where “Tier 2 or 3” is stipulated in the Regulations?</w:t>
            </w:r>
            <w:r w:rsidR="00F16E62">
              <w:rPr>
                <w:noProof/>
                <w:webHidden/>
              </w:rPr>
              <w:tab/>
            </w:r>
            <w:r w:rsidR="00F16E62">
              <w:rPr>
                <w:noProof/>
                <w:webHidden/>
              </w:rPr>
              <w:fldChar w:fldCharType="begin"/>
            </w:r>
            <w:r w:rsidR="00F16E62">
              <w:rPr>
                <w:noProof/>
                <w:webHidden/>
              </w:rPr>
              <w:instrText xml:space="preserve"> PAGEREF _Toc109812449 \h </w:instrText>
            </w:r>
            <w:r w:rsidR="00F16E62">
              <w:rPr>
                <w:noProof/>
                <w:webHidden/>
              </w:rPr>
            </w:r>
            <w:r w:rsidR="00F16E62">
              <w:rPr>
                <w:noProof/>
                <w:webHidden/>
              </w:rPr>
              <w:fldChar w:fldCharType="separate"/>
            </w:r>
            <w:r w:rsidR="00F16E62">
              <w:rPr>
                <w:noProof/>
                <w:webHidden/>
              </w:rPr>
              <w:t>47</w:t>
            </w:r>
            <w:r w:rsidR="00F16E62">
              <w:rPr>
                <w:noProof/>
                <w:webHidden/>
              </w:rPr>
              <w:fldChar w:fldCharType="end"/>
            </w:r>
          </w:hyperlink>
        </w:p>
        <w:p w14:paraId="04E28D23" w14:textId="484BD1D0" w:rsidR="00F16E62" w:rsidRDefault="00161F7F">
          <w:pPr>
            <w:pStyle w:val="TOC2"/>
            <w:rPr>
              <w:rFonts w:asciiTheme="minorHAnsi" w:hAnsiTheme="minorHAnsi" w:cstheme="minorBidi"/>
              <w:noProof/>
              <w:lang w:val="en-ZA" w:eastAsia="en-ZA"/>
            </w:rPr>
          </w:pPr>
          <w:hyperlink w:anchor="_Toc109812450" w:history="1">
            <w:r w:rsidR="00F16E62" w:rsidRPr="00932F8D">
              <w:rPr>
                <w:rStyle w:val="Hyperlink"/>
                <w:rFonts w:eastAsia="Calibri" w:cs="Arial"/>
                <w:noProof/>
              </w:rPr>
              <w:t>5.18.</w:t>
            </w:r>
            <w:r w:rsidR="00F16E62">
              <w:rPr>
                <w:rFonts w:asciiTheme="minorHAnsi" w:hAnsiTheme="minorHAnsi" w:cstheme="minorBidi"/>
                <w:noProof/>
                <w:lang w:val="en-ZA" w:eastAsia="en-ZA"/>
              </w:rPr>
              <w:tab/>
            </w:r>
            <w:r w:rsidR="00F16E62" w:rsidRPr="00932F8D">
              <w:rPr>
                <w:rStyle w:val="Hyperlink"/>
                <w:noProof/>
              </w:rPr>
              <w:t>Can I report my GHG emissions using the 2019 IPCC Refinements?</w:t>
            </w:r>
            <w:r w:rsidR="00F16E62">
              <w:rPr>
                <w:noProof/>
                <w:webHidden/>
              </w:rPr>
              <w:tab/>
            </w:r>
            <w:r w:rsidR="00F16E62">
              <w:rPr>
                <w:noProof/>
                <w:webHidden/>
              </w:rPr>
              <w:fldChar w:fldCharType="begin"/>
            </w:r>
            <w:r w:rsidR="00F16E62">
              <w:rPr>
                <w:noProof/>
                <w:webHidden/>
              </w:rPr>
              <w:instrText xml:space="preserve"> PAGEREF _Toc109812450 \h </w:instrText>
            </w:r>
            <w:r w:rsidR="00F16E62">
              <w:rPr>
                <w:noProof/>
                <w:webHidden/>
              </w:rPr>
            </w:r>
            <w:r w:rsidR="00F16E62">
              <w:rPr>
                <w:noProof/>
                <w:webHidden/>
              </w:rPr>
              <w:fldChar w:fldCharType="separate"/>
            </w:r>
            <w:r w:rsidR="00F16E62">
              <w:rPr>
                <w:noProof/>
                <w:webHidden/>
              </w:rPr>
              <w:t>47</w:t>
            </w:r>
            <w:r w:rsidR="00F16E62">
              <w:rPr>
                <w:noProof/>
                <w:webHidden/>
              </w:rPr>
              <w:fldChar w:fldCharType="end"/>
            </w:r>
          </w:hyperlink>
        </w:p>
        <w:p w14:paraId="024D1DC8" w14:textId="52E29A11" w:rsidR="00F16E62" w:rsidRDefault="00161F7F">
          <w:pPr>
            <w:pStyle w:val="TOC2"/>
            <w:rPr>
              <w:rFonts w:asciiTheme="minorHAnsi" w:hAnsiTheme="minorHAnsi" w:cstheme="minorBidi"/>
              <w:noProof/>
              <w:lang w:val="en-ZA" w:eastAsia="en-ZA"/>
            </w:rPr>
          </w:pPr>
          <w:hyperlink w:anchor="_Toc109812451" w:history="1">
            <w:r w:rsidR="00F16E62" w:rsidRPr="00932F8D">
              <w:rPr>
                <w:rStyle w:val="Hyperlink"/>
                <w:rFonts w:eastAsia="Calibri" w:cs="Arial"/>
                <w:noProof/>
              </w:rPr>
              <w:t>5.19.</w:t>
            </w:r>
            <w:r w:rsidR="00F16E62">
              <w:rPr>
                <w:rFonts w:asciiTheme="minorHAnsi" w:hAnsiTheme="minorHAnsi" w:cstheme="minorBidi"/>
                <w:noProof/>
                <w:lang w:val="en-ZA" w:eastAsia="en-ZA"/>
              </w:rPr>
              <w:tab/>
            </w:r>
            <w:r w:rsidR="00F16E62" w:rsidRPr="00932F8D">
              <w:rPr>
                <w:rStyle w:val="Hyperlink"/>
                <w:noProof/>
              </w:rPr>
              <w:t>Emissions from Fishing Vessels</w:t>
            </w:r>
            <w:r w:rsidR="00F16E62">
              <w:rPr>
                <w:noProof/>
                <w:webHidden/>
              </w:rPr>
              <w:tab/>
            </w:r>
            <w:r w:rsidR="00F16E62">
              <w:rPr>
                <w:noProof/>
                <w:webHidden/>
              </w:rPr>
              <w:fldChar w:fldCharType="begin"/>
            </w:r>
            <w:r w:rsidR="00F16E62">
              <w:rPr>
                <w:noProof/>
                <w:webHidden/>
              </w:rPr>
              <w:instrText xml:space="preserve"> PAGEREF _Toc109812451 \h </w:instrText>
            </w:r>
            <w:r w:rsidR="00F16E62">
              <w:rPr>
                <w:noProof/>
                <w:webHidden/>
              </w:rPr>
            </w:r>
            <w:r w:rsidR="00F16E62">
              <w:rPr>
                <w:noProof/>
                <w:webHidden/>
              </w:rPr>
              <w:fldChar w:fldCharType="separate"/>
            </w:r>
            <w:r w:rsidR="00F16E62">
              <w:rPr>
                <w:noProof/>
                <w:webHidden/>
              </w:rPr>
              <w:t>47</w:t>
            </w:r>
            <w:r w:rsidR="00F16E62">
              <w:rPr>
                <w:noProof/>
                <w:webHidden/>
              </w:rPr>
              <w:fldChar w:fldCharType="end"/>
            </w:r>
          </w:hyperlink>
        </w:p>
        <w:p w14:paraId="6302CD97" w14:textId="766DB2A3" w:rsidR="000E5094" w:rsidRDefault="000E5094">
          <w:r>
            <w:rPr>
              <w:b/>
              <w:bCs/>
              <w:noProof/>
            </w:rPr>
            <w:fldChar w:fldCharType="end"/>
          </w:r>
        </w:p>
      </w:sdtContent>
    </w:sdt>
    <w:p w14:paraId="24A79E74" w14:textId="77777777" w:rsidR="003112C7" w:rsidRDefault="003112C7" w:rsidP="002B050E"/>
    <w:p w14:paraId="4D769265" w14:textId="77777777" w:rsidR="003112C7" w:rsidRDefault="003112C7" w:rsidP="002B050E"/>
    <w:p w14:paraId="58DB06C1" w14:textId="46FD2962" w:rsidR="003112C7" w:rsidRDefault="003112C7" w:rsidP="002B050E"/>
    <w:p w14:paraId="79296F09" w14:textId="12DC6399" w:rsidR="00CA5B64" w:rsidRDefault="00CA5B64" w:rsidP="002B050E"/>
    <w:p w14:paraId="2BE591FD" w14:textId="24316C8B" w:rsidR="00CA5B64" w:rsidRDefault="00CA5B64" w:rsidP="002B050E"/>
    <w:p w14:paraId="171DE7F1" w14:textId="2DBA1320" w:rsidR="00CA5B64" w:rsidRDefault="00CA5B64" w:rsidP="002B050E"/>
    <w:p w14:paraId="567C82A6" w14:textId="7E5D155C" w:rsidR="00CA5B64" w:rsidRDefault="00CA5B64" w:rsidP="002B050E"/>
    <w:p w14:paraId="5409569E" w14:textId="171E27B4" w:rsidR="00CA5B64" w:rsidRDefault="00CA5B64" w:rsidP="002B050E"/>
    <w:p w14:paraId="7AE5EBF2" w14:textId="63C7F567" w:rsidR="00CA5B64" w:rsidRDefault="00CA5B64" w:rsidP="002B050E"/>
    <w:p w14:paraId="091E6802" w14:textId="17F9DFF5" w:rsidR="00CA5B64" w:rsidRDefault="00CA5B64" w:rsidP="002B050E"/>
    <w:p w14:paraId="6811895A" w14:textId="268FF297" w:rsidR="00CA5B64" w:rsidRDefault="00CA5B64" w:rsidP="002B050E"/>
    <w:p w14:paraId="7B5A49B8" w14:textId="4622A86F" w:rsidR="00CA5B64" w:rsidRDefault="00CA5B64" w:rsidP="002B050E"/>
    <w:p w14:paraId="3AA48BA8" w14:textId="3794DD36" w:rsidR="00CA5B64" w:rsidRDefault="00CA5B64" w:rsidP="002B050E"/>
    <w:p w14:paraId="64F72B05" w14:textId="03C977CE" w:rsidR="00CA5B64" w:rsidRDefault="00CA5B64" w:rsidP="002B050E"/>
    <w:p w14:paraId="6305D75A" w14:textId="1F2CBAEA" w:rsidR="00CA5B64" w:rsidRDefault="00CA5B64" w:rsidP="002B050E"/>
    <w:p w14:paraId="120B6E9D" w14:textId="56D17D9C" w:rsidR="00CA5B64" w:rsidRDefault="00CA5B64" w:rsidP="002B050E"/>
    <w:p w14:paraId="3DCCB771" w14:textId="15D8BECC" w:rsidR="00CA5B64" w:rsidRDefault="00CA5B64" w:rsidP="002B050E"/>
    <w:p w14:paraId="371C51BB" w14:textId="1D86A284" w:rsidR="00CA5B64" w:rsidRDefault="00CA5B64" w:rsidP="002B050E"/>
    <w:p w14:paraId="511553EE" w14:textId="25D86E85" w:rsidR="00CA5B64" w:rsidRDefault="00CA5B64" w:rsidP="002B050E"/>
    <w:p w14:paraId="7B149FCF" w14:textId="4AF51D29" w:rsidR="00CA5B64" w:rsidRDefault="00CA5B64" w:rsidP="002B050E"/>
    <w:p w14:paraId="386C93B9" w14:textId="467EDF6B" w:rsidR="00CA5B64" w:rsidRDefault="00CA5B64" w:rsidP="002B050E"/>
    <w:p w14:paraId="0C4DF8D2" w14:textId="77777777" w:rsidR="00CA5B64" w:rsidRDefault="00CA5B64" w:rsidP="002B050E"/>
    <w:p w14:paraId="2BE77003" w14:textId="5F4499FF" w:rsidR="00FB4997" w:rsidRDefault="00FB4997" w:rsidP="00FB4997">
      <w:pPr>
        <w:rPr>
          <w:b/>
          <w:color w:val="006600"/>
          <w:sz w:val="28"/>
        </w:rPr>
      </w:pPr>
      <w:r w:rsidRPr="00FB4997">
        <w:rPr>
          <w:b/>
          <w:color w:val="006600"/>
          <w:sz w:val="28"/>
        </w:rPr>
        <w:t>Abbreviations</w:t>
      </w:r>
    </w:p>
    <w:tbl>
      <w:tblPr>
        <w:tblStyle w:val="TableGrid"/>
        <w:tblW w:w="73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8"/>
        <w:gridCol w:w="6368"/>
      </w:tblGrid>
      <w:tr w:rsidR="00077C12" w:rsidRPr="00FB4997" w14:paraId="1C864344" w14:textId="77777777" w:rsidTr="00915109">
        <w:trPr>
          <w:trHeight w:val="375"/>
        </w:trPr>
        <w:tc>
          <w:tcPr>
            <w:tcW w:w="0" w:type="auto"/>
          </w:tcPr>
          <w:p w14:paraId="2A04A34E" w14:textId="65CF4D03" w:rsidR="00077C12" w:rsidRPr="00FB4997" w:rsidRDefault="00077C12" w:rsidP="00FB4997">
            <w:pPr>
              <w:rPr>
                <w:b/>
                <w:sz w:val="22"/>
                <w:szCs w:val="24"/>
              </w:rPr>
            </w:pPr>
            <w:r>
              <w:rPr>
                <w:b/>
                <w:sz w:val="22"/>
                <w:szCs w:val="24"/>
              </w:rPr>
              <w:t>ACO</w:t>
            </w:r>
          </w:p>
        </w:tc>
        <w:tc>
          <w:tcPr>
            <w:tcW w:w="6368" w:type="dxa"/>
          </w:tcPr>
          <w:p w14:paraId="0EF9B44A" w14:textId="5CCA469A" w:rsidR="00077C12" w:rsidRPr="00FB4997" w:rsidRDefault="00077C12" w:rsidP="00FB4997">
            <w:pPr>
              <w:rPr>
                <w:sz w:val="22"/>
                <w:szCs w:val="24"/>
              </w:rPr>
            </w:pPr>
            <w:r>
              <w:rPr>
                <w:sz w:val="22"/>
                <w:szCs w:val="24"/>
              </w:rPr>
              <w:t>Accounting Officer</w:t>
            </w:r>
          </w:p>
        </w:tc>
      </w:tr>
      <w:tr w:rsidR="00FB4997" w:rsidRPr="00FB4997" w14:paraId="06B70AA9" w14:textId="77777777" w:rsidTr="00915109">
        <w:trPr>
          <w:trHeight w:val="375"/>
        </w:trPr>
        <w:tc>
          <w:tcPr>
            <w:tcW w:w="0" w:type="auto"/>
          </w:tcPr>
          <w:p w14:paraId="5ED0D654" w14:textId="1693DA2A" w:rsidR="00FB4997" w:rsidRPr="00FB4997" w:rsidRDefault="00FB4997" w:rsidP="00FB4997">
            <w:pPr>
              <w:rPr>
                <w:b/>
                <w:sz w:val="22"/>
                <w:szCs w:val="24"/>
              </w:rPr>
            </w:pPr>
            <w:r w:rsidRPr="00FB4997">
              <w:rPr>
                <w:b/>
                <w:sz w:val="22"/>
                <w:szCs w:val="24"/>
              </w:rPr>
              <w:t>DFF</w:t>
            </w:r>
            <w:r w:rsidR="0067691D">
              <w:rPr>
                <w:b/>
                <w:sz w:val="22"/>
                <w:szCs w:val="24"/>
              </w:rPr>
              <w:t>E</w:t>
            </w:r>
          </w:p>
        </w:tc>
        <w:tc>
          <w:tcPr>
            <w:tcW w:w="6368" w:type="dxa"/>
          </w:tcPr>
          <w:p w14:paraId="0CBB40F1" w14:textId="0E6FF7D2" w:rsidR="00FB4997" w:rsidRPr="00FB4997" w:rsidRDefault="000A2672" w:rsidP="0067691D">
            <w:pPr>
              <w:rPr>
                <w:color w:val="006600"/>
                <w:szCs w:val="24"/>
              </w:rPr>
            </w:pPr>
            <w:r w:rsidRPr="000A2672">
              <w:rPr>
                <w:sz w:val="22"/>
                <w:szCs w:val="24"/>
              </w:rPr>
              <w:t>Department of Forestry, Fisheries and the Environment </w:t>
            </w:r>
          </w:p>
        </w:tc>
      </w:tr>
      <w:tr w:rsidR="00077C12" w:rsidRPr="00FB4997" w14:paraId="1A847DD3" w14:textId="77777777" w:rsidTr="00915109">
        <w:trPr>
          <w:trHeight w:val="365"/>
        </w:trPr>
        <w:tc>
          <w:tcPr>
            <w:tcW w:w="0" w:type="auto"/>
          </w:tcPr>
          <w:p w14:paraId="2ACC82E7" w14:textId="67DBCEE9" w:rsidR="00077C12" w:rsidRPr="00FB4997" w:rsidRDefault="00077C12" w:rsidP="00FB4997">
            <w:pPr>
              <w:rPr>
                <w:b/>
                <w:sz w:val="22"/>
                <w:szCs w:val="24"/>
              </w:rPr>
            </w:pPr>
            <w:r>
              <w:rPr>
                <w:b/>
                <w:sz w:val="22"/>
                <w:szCs w:val="24"/>
              </w:rPr>
              <w:t>ECO</w:t>
            </w:r>
          </w:p>
        </w:tc>
        <w:tc>
          <w:tcPr>
            <w:tcW w:w="6368" w:type="dxa"/>
          </w:tcPr>
          <w:p w14:paraId="02C6AA6B" w14:textId="769DA785" w:rsidR="00077C12" w:rsidRPr="00FB4997" w:rsidRDefault="00077C12" w:rsidP="00FB4997">
            <w:pPr>
              <w:rPr>
                <w:sz w:val="22"/>
                <w:szCs w:val="24"/>
              </w:rPr>
            </w:pPr>
            <w:r>
              <w:rPr>
                <w:sz w:val="22"/>
                <w:szCs w:val="24"/>
              </w:rPr>
              <w:t>Environmental Control Officer</w:t>
            </w:r>
          </w:p>
        </w:tc>
      </w:tr>
      <w:tr w:rsidR="00FB4997" w:rsidRPr="00FB4997" w14:paraId="417C6781" w14:textId="77777777" w:rsidTr="00915109">
        <w:trPr>
          <w:trHeight w:val="397"/>
        </w:trPr>
        <w:tc>
          <w:tcPr>
            <w:tcW w:w="0" w:type="auto"/>
          </w:tcPr>
          <w:p w14:paraId="3720B635" w14:textId="1C6A0A3D" w:rsidR="00FB4997" w:rsidRPr="00FB4997" w:rsidRDefault="00FB4997" w:rsidP="00FB4997">
            <w:pPr>
              <w:rPr>
                <w:b/>
                <w:sz w:val="22"/>
                <w:szCs w:val="24"/>
              </w:rPr>
            </w:pPr>
            <w:r w:rsidRPr="00FB4997">
              <w:rPr>
                <w:b/>
                <w:sz w:val="22"/>
                <w:szCs w:val="24"/>
              </w:rPr>
              <w:t>GHG</w:t>
            </w:r>
          </w:p>
        </w:tc>
        <w:tc>
          <w:tcPr>
            <w:tcW w:w="6368" w:type="dxa"/>
          </w:tcPr>
          <w:p w14:paraId="7CFAEDA9" w14:textId="25C14257" w:rsidR="00FB4997" w:rsidRPr="00FB4997" w:rsidRDefault="00FB4997" w:rsidP="00FB4997">
            <w:pPr>
              <w:rPr>
                <w:szCs w:val="24"/>
              </w:rPr>
            </w:pPr>
            <w:r w:rsidRPr="00FB4997">
              <w:rPr>
                <w:szCs w:val="24"/>
              </w:rPr>
              <w:t>Greenhouse Gas</w:t>
            </w:r>
          </w:p>
        </w:tc>
      </w:tr>
      <w:tr w:rsidR="00077C12" w:rsidRPr="00FB4997" w14:paraId="77F6430D" w14:textId="77777777" w:rsidTr="00915109">
        <w:trPr>
          <w:trHeight w:val="397"/>
        </w:trPr>
        <w:tc>
          <w:tcPr>
            <w:tcW w:w="0" w:type="auto"/>
          </w:tcPr>
          <w:p w14:paraId="4F297B1A" w14:textId="3D774A60" w:rsidR="00077C12" w:rsidRPr="00FB4997" w:rsidRDefault="00077C12" w:rsidP="00FB4997">
            <w:pPr>
              <w:rPr>
                <w:b/>
                <w:sz w:val="22"/>
                <w:szCs w:val="24"/>
              </w:rPr>
            </w:pPr>
            <w:r>
              <w:rPr>
                <w:b/>
                <w:sz w:val="22"/>
                <w:szCs w:val="24"/>
              </w:rPr>
              <w:t>IPCC</w:t>
            </w:r>
          </w:p>
        </w:tc>
        <w:tc>
          <w:tcPr>
            <w:tcW w:w="6368" w:type="dxa"/>
          </w:tcPr>
          <w:p w14:paraId="056467FF" w14:textId="246D1A12" w:rsidR="00077C12" w:rsidRPr="00FB4997" w:rsidRDefault="00077C12" w:rsidP="00FB4997">
            <w:pPr>
              <w:rPr>
                <w:szCs w:val="24"/>
              </w:rPr>
            </w:pPr>
            <w:r>
              <w:rPr>
                <w:szCs w:val="24"/>
              </w:rPr>
              <w:t>Intergovernmental Panel on Climate Change</w:t>
            </w:r>
          </w:p>
        </w:tc>
      </w:tr>
      <w:tr w:rsidR="00FB4997" w:rsidRPr="00FB4997" w14:paraId="317797FE" w14:textId="77777777" w:rsidTr="00915109">
        <w:trPr>
          <w:trHeight w:val="397"/>
        </w:trPr>
        <w:tc>
          <w:tcPr>
            <w:tcW w:w="0" w:type="auto"/>
          </w:tcPr>
          <w:p w14:paraId="3C69FCD0" w14:textId="1B6E7CE1" w:rsidR="00FB4997" w:rsidRPr="00FB4997" w:rsidRDefault="00FB4997" w:rsidP="00FB4997">
            <w:pPr>
              <w:rPr>
                <w:b/>
                <w:sz w:val="22"/>
                <w:szCs w:val="24"/>
              </w:rPr>
            </w:pPr>
            <w:r w:rsidRPr="00FB4997">
              <w:rPr>
                <w:b/>
                <w:sz w:val="22"/>
                <w:szCs w:val="24"/>
              </w:rPr>
              <w:t>NAEIS</w:t>
            </w:r>
          </w:p>
        </w:tc>
        <w:tc>
          <w:tcPr>
            <w:tcW w:w="6368" w:type="dxa"/>
          </w:tcPr>
          <w:p w14:paraId="49147920" w14:textId="78B98C57" w:rsidR="00FB4997" w:rsidRPr="00FB4997" w:rsidRDefault="00FB4997" w:rsidP="00FB4997">
            <w:pPr>
              <w:rPr>
                <w:szCs w:val="24"/>
              </w:rPr>
            </w:pPr>
            <w:r w:rsidRPr="00FB4997">
              <w:rPr>
                <w:szCs w:val="24"/>
              </w:rPr>
              <w:t>National Atmospheric Emission Inventory System</w:t>
            </w:r>
          </w:p>
        </w:tc>
      </w:tr>
      <w:tr w:rsidR="00077C12" w:rsidRPr="00FB4997" w14:paraId="56B3289B" w14:textId="77777777" w:rsidTr="00915109">
        <w:trPr>
          <w:trHeight w:val="386"/>
        </w:trPr>
        <w:tc>
          <w:tcPr>
            <w:tcW w:w="0" w:type="auto"/>
          </w:tcPr>
          <w:p w14:paraId="42FEBB67" w14:textId="3229946E" w:rsidR="00077C12" w:rsidRPr="00FB4997" w:rsidRDefault="00077C12" w:rsidP="00FB4997">
            <w:pPr>
              <w:rPr>
                <w:b/>
                <w:sz w:val="22"/>
                <w:szCs w:val="24"/>
              </w:rPr>
            </w:pPr>
            <w:r>
              <w:rPr>
                <w:b/>
                <w:sz w:val="22"/>
                <w:szCs w:val="24"/>
              </w:rPr>
              <w:t>NEMA</w:t>
            </w:r>
          </w:p>
        </w:tc>
        <w:tc>
          <w:tcPr>
            <w:tcW w:w="6368" w:type="dxa"/>
          </w:tcPr>
          <w:p w14:paraId="41683B2E" w14:textId="00301CCD" w:rsidR="00077C12" w:rsidRPr="00FB4997" w:rsidRDefault="00077C12" w:rsidP="00FB4997">
            <w:pPr>
              <w:rPr>
                <w:szCs w:val="24"/>
              </w:rPr>
            </w:pPr>
            <w:r>
              <w:rPr>
                <w:szCs w:val="24"/>
              </w:rPr>
              <w:t>National Environmental Management Act</w:t>
            </w:r>
          </w:p>
        </w:tc>
      </w:tr>
      <w:tr w:rsidR="00077C12" w:rsidRPr="00FB4997" w14:paraId="5155D47F" w14:textId="77777777" w:rsidTr="00915109">
        <w:trPr>
          <w:trHeight w:val="397"/>
        </w:trPr>
        <w:tc>
          <w:tcPr>
            <w:tcW w:w="0" w:type="auto"/>
          </w:tcPr>
          <w:p w14:paraId="159B5B14" w14:textId="64C5FDE0" w:rsidR="00077C12" w:rsidRPr="00FB4997" w:rsidRDefault="00077C12" w:rsidP="00FB4997">
            <w:pPr>
              <w:rPr>
                <w:b/>
                <w:sz w:val="22"/>
                <w:szCs w:val="24"/>
              </w:rPr>
            </w:pPr>
            <w:r>
              <w:rPr>
                <w:b/>
                <w:sz w:val="22"/>
                <w:szCs w:val="24"/>
              </w:rPr>
              <w:t>NGERs</w:t>
            </w:r>
          </w:p>
        </w:tc>
        <w:tc>
          <w:tcPr>
            <w:tcW w:w="6368" w:type="dxa"/>
          </w:tcPr>
          <w:p w14:paraId="0401BA54" w14:textId="18B82959" w:rsidR="00077C12" w:rsidRPr="00FB4997" w:rsidRDefault="00077C12" w:rsidP="00FB4997">
            <w:pPr>
              <w:rPr>
                <w:szCs w:val="24"/>
              </w:rPr>
            </w:pPr>
            <w:r>
              <w:rPr>
                <w:szCs w:val="24"/>
              </w:rPr>
              <w:t>National Greenhouse Gas Emission</w:t>
            </w:r>
            <w:r w:rsidR="0067691D">
              <w:rPr>
                <w:szCs w:val="24"/>
              </w:rPr>
              <w:t>s</w:t>
            </w:r>
            <w:r>
              <w:rPr>
                <w:szCs w:val="24"/>
              </w:rPr>
              <w:t xml:space="preserve"> Reporting Regulations</w:t>
            </w:r>
          </w:p>
        </w:tc>
      </w:tr>
      <w:tr w:rsidR="00915109" w:rsidRPr="00FB4997" w14:paraId="2A541749" w14:textId="77777777" w:rsidTr="00915109">
        <w:trPr>
          <w:trHeight w:val="397"/>
        </w:trPr>
        <w:tc>
          <w:tcPr>
            <w:tcW w:w="0" w:type="auto"/>
          </w:tcPr>
          <w:p w14:paraId="4B439AAF" w14:textId="518F6C82" w:rsidR="00915109" w:rsidRDefault="00915109" w:rsidP="00FB4997">
            <w:pPr>
              <w:rPr>
                <w:b/>
                <w:sz w:val="22"/>
                <w:szCs w:val="24"/>
              </w:rPr>
            </w:pPr>
            <w:r>
              <w:rPr>
                <w:b/>
                <w:sz w:val="22"/>
                <w:szCs w:val="24"/>
              </w:rPr>
              <w:t>SAAELIP</w:t>
            </w:r>
          </w:p>
        </w:tc>
        <w:tc>
          <w:tcPr>
            <w:tcW w:w="6368" w:type="dxa"/>
          </w:tcPr>
          <w:p w14:paraId="7B91FAEC" w14:textId="2E08CDE8" w:rsidR="00915109" w:rsidRDefault="00915109" w:rsidP="00FB4997">
            <w:pPr>
              <w:rPr>
                <w:szCs w:val="24"/>
              </w:rPr>
            </w:pPr>
            <w:r w:rsidRPr="00DE4CBF">
              <w:rPr>
                <w:szCs w:val="24"/>
              </w:rPr>
              <w:t>South African Atmospheric Emission Licensing and Inventory Porta</w:t>
            </w:r>
            <w:r>
              <w:rPr>
                <w:szCs w:val="24"/>
              </w:rPr>
              <w:t>l</w:t>
            </w:r>
          </w:p>
        </w:tc>
      </w:tr>
      <w:tr w:rsidR="00FB4997" w:rsidRPr="00FB4997" w14:paraId="0E8EFEB2" w14:textId="77777777" w:rsidTr="00915109">
        <w:trPr>
          <w:trHeight w:val="397"/>
        </w:trPr>
        <w:tc>
          <w:tcPr>
            <w:tcW w:w="0" w:type="auto"/>
          </w:tcPr>
          <w:p w14:paraId="5C9B841F" w14:textId="7DF5F463" w:rsidR="00FB4997" w:rsidRPr="00FB4997" w:rsidRDefault="00FB4997" w:rsidP="00FB4997">
            <w:pPr>
              <w:rPr>
                <w:b/>
                <w:sz w:val="22"/>
                <w:szCs w:val="24"/>
              </w:rPr>
            </w:pPr>
            <w:r w:rsidRPr="00FB4997">
              <w:rPr>
                <w:b/>
                <w:sz w:val="22"/>
                <w:szCs w:val="24"/>
              </w:rPr>
              <w:t>SAGERS</w:t>
            </w:r>
          </w:p>
        </w:tc>
        <w:tc>
          <w:tcPr>
            <w:tcW w:w="6368" w:type="dxa"/>
          </w:tcPr>
          <w:p w14:paraId="159AD30D" w14:textId="5D9135D6" w:rsidR="00DE4CBF" w:rsidRDefault="00FB4997" w:rsidP="00DE4CBF">
            <w:pPr>
              <w:rPr>
                <w:szCs w:val="24"/>
              </w:rPr>
            </w:pPr>
            <w:r w:rsidRPr="00FB4997">
              <w:rPr>
                <w:szCs w:val="24"/>
              </w:rPr>
              <w:t>South African Greenhouse Gas Emission</w:t>
            </w:r>
            <w:r w:rsidR="0067691D">
              <w:rPr>
                <w:szCs w:val="24"/>
              </w:rPr>
              <w:t>s</w:t>
            </w:r>
            <w:r w:rsidRPr="00FB4997">
              <w:rPr>
                <w:szCs w:val="24"/>
              </w:rPr>
              <w:t xml:space="preserve"> Reporting System</w:t>
            </w:r>
          </w:p>
          <w:p w14:paraId="16C4FC1E" w14:textId="39D20E63" w:rsidR="00DE4CBF" w:rsidRDefault="00DE4CBF" w:rsidP="00FB4997">
            <w:pPr>
              <w:rPr>
                <w:szCs w:val="24"/>
              </w:rPr>
            </w:pPr>
          </w:p>
          <w:p w14:paraId="7F5E5CDB" w14:textId="77777777" w:rsidR="00DE4CBF" w:rsidRPr="00DE4CBF" w:rsidRDefault="00DE4CBF" w:rsidP="00DE4CBF">
            <w:pPr>
              <w:rPr>
                <w:szCs w:val="24"/>
              </w:rPr>
            </w:pPr>
          </w:p>
          <w:p w14:paraId="621D33CB" w14:textId="77777777" w:rsidR="00DE4CBF" w:rsidRPr="00DE4CBF" w:rsidRDefault="00DE4CBF" w:rsidP="00DE4CBF">
            <w:pPr>
              <w:rPr>
                <w:szCs w:val="24"/>
              </w:rPr>
            </w:pPr>
          </w:p>
          <w:p w14:paraId="1558E4DD" w14:textId="77777777" w:rsidR="00DE4CBF" w:rsidRPr="00DE4CBF" w:rsidRDefault="00DE4CBF" w:rsidP="00DE4CBF">
            <w:pPr>
              <w:rPr>
                <w:szCs w:val="24"/>
              </w:rPr>
            </w:pPr>
          </w:p>
          <w:p w14:paraId="0E50BE44" w14:textId="77777777" w:rsidR="00DE4CBF" w:rsidRPr="00DE4CBF" w:rsidRDefault="00DE4CBF" w:rsidP="00DE4CBF">
            <w:pPr>
              <w:rPr>
                <w:szCs w:val="24"/>
              </w:rPr>
            </w:pPr>
          </w:p>
          <w:p w14:paraId="4A9FF139" w14:textId="77777777" w:rsidR="00DE4CBF" w:rsidRPr="00DE4CBF" w:rsidRDefault="00DE4CBF" w:rsidP="00DE4CBF">
            <w:pPr>
              <w:rPr>
                <w:szCs w:val="24"/>
              </w:rPr>
            </w:pPr>
          </w:p>
          <w:p w14:paraId="74F5EC39" w14:textId="77777777" w:rsidR="00DE4CBF" w:rsidRPr="00DE4CBF" w:rsidRDefault="00DE4CBF" w:rsidP="00DE4CBF">
            <w:pPr>
              <w:rPr>
                <w:szCs w:val="24"/>
              </w:rPr>
            </w:pPr>
          </w:p>
          <w:p w14:paraId="197442B7" w14:textId="77777777" w:rsidR="00DE4CBF" w:rsidRPr="00DE4CBF" w:rsidRDefault="00DE4CBF" w:rsidP="00DE4CBF">
            <w:pPr>
              <w:rPr>
                <w:szCs w:val="24"/>
              </w:rPr>
            </w:pPr>
          </w:p>
          <w:p w14:paraId="1C3031A3" w14:textId="77777777" w:rsidR="00DE4CBF" w:rsidRPr="00DE4CBF" w:rsidRDefault="00DE4CBF" w:rsidP="00DE4CBF">
            <w:pPr>
              <w:rPr>
                <w:szCs w:val="24"/>
              </w:rPr>
            </w:pPr>
          </w:p>
          <w:p w14:paraId="7FECF4CE" w14:textId="77777777" w:rsidR="00DE4CBF" w:rsidRPr="00DE4CBF" w:rsidRDefault="00DE4CBF" w:rsidP="00DE4CBF">
            <w:pPr>
              <w:rPr>
                <w:szCs w:val="24"/>
              </w:rPr>
            </w:pPr>
          </w:p>
          <w:p w14:paraId="407884B0" w14:textId="77777777" w:rsidR="00DE4CBF" w:rsidRPr="00DE4CBF" w:rsidRDefault="00DE4CBF" w:rsidP="00DE4CBF">
            <w:pPr>
              <w:rPr>
                <w:szCs w:val="24"/>
              </w:rPr>
            </w:pPr>
          </w:p>
          <w:p w14:paraId="6A872588" w14:textId="77777777" w:rsidR="00DE4CBF" w:rsidRPr="00DE4CBF" w:rsidRDefault="00DE4CBF" w:rsidP="00DE4CBF">
            <w:pPr>
              <w:rPr>
                <w:szCs w:val="24"/>
              </w:rPr>
            </w:pPr>
          </w:p>
          <w:p w14:paraId="4A7EABE1" w14:textId="77777777" w:rsidR="00DE4CBF" w:rsidRDefault="00DE4CBF" w:rsidP="00FB4997">
            <w:pPr>
              <w:rPr>
                <w:szCs w:val="24"/>
              </w:rPr>
            </w:pPr>
          </w:p>
          <w:p w14:paraId="5528854F" w14:textId="01B0FE99" w:rsidR="00DE4CBF" w:rsidRPr="00FB4997" w:rsidRDefault="00DE4CBF" w:rsidP="00FB4997">
            <w:pPr>
              <w:rPr>
                <w:szCs w:val="24"/>
              </w:rPr>
            </w:pPr>
          </w:p>
        </w:tc>
      </w:tr>
    </w:tbl>
    <w:p w14:paraId="78741C90" w14:textId="2C06FFD3" w:rsidR="00DE4CBF" w:rsidRDefault="00DE4CBF"/>
    <w:p w14:paraId="2390FCEC" w14:textId="77777777" w:rsidR="002A3D8F" w:rsidRDefault="002A3D8F"/>
    <w:p w14:paraId="2183D31D" w14:textId="3F4EAA1C" w:rsidR="00DE4CBF" w:rsidRDefault="00DE4CBF" w:rsidP="00915109">
      <w:pPr>
        <w:rPr>
          <w:b/>
          <w:color w:val="006600"/>
          <w:sz w:val="28"/>
        </w:rPr>
      </w:pPr>
      <w:r w:rsidRPr="00915109">
        <w:rPr>
          <w:b/>
          <w:color w:val="006600"/>
          <w:sz w:val="28"/>
        </w:rPr>
        <w:t>Definitions</w:t>
      </w: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371"/>
      </w:tblGrid>
      <w:tr w:rsidR="00915109" w:rsidRPr="00915109" w14:paraId="0A5323C2" w14:textId="77777777" w:rsidTr="00915109">
        <w:tc>
          <w:tcPr>
            <w:tcW w:w="1838" w:type="dxa"/>
            <w:vAlign w:val="center"/>
          </w:tcPr>
          <w:p w14:paraId="7FAA9273" w14:textId="54560322" w:rsidR="00915109" w:rsidRPr="00915109" w:rsidRDefault="00915109" w:rsidP="00915109">
            <w:pPr>
              <w:rPr>
                <w:b/>
                <w:sz w:val="22"/>
              </w:rPr>
            </w:pPr>
            <w:r w:rsidRPr="00915109">
              <w:rPr>
                <w:b/>
                <w:sz w:val="22"/>
              </w:rPr>
              <w:t>ACO</w:t>
            </w:r>
          </w:p>
        </w:tc>
        <w:tc>
          <w:tcPr>
            <w:tcW w:w="7371" w:type="dxa"/>
            <w:vAlign w:val="center"/>
          </w:tcPr>
          <w:p w14:paraId="4DC143CE" w14:textId="13C48A94" w:rsidR="00915109" w:rsidRPr="00915109" w:rsidRDefault="00915109" w:rsidP="00915109">
            <w:pPr>
              <w:jc w:val="both"/>
            </w:pPr>
            <w:r w:rsidRPr="00915109">
              <w:t>The Accounting Officer (ACO) serves as a primary user for the data provider and is responsible for certifying and submitting submittals on behalf of his/her Data Provider on the SAGERS. An ACO can also assign ECO/Consultants to help prepare the submittals for each facility that the ECOs/Consultants are assigned to.</w:t>
            </w:r>
          </w:p>
        </w:tc>
      </w:tr>
      <w:tr w:rsidR="00915109" w:rsidRPr="00915109" w14:paraId="6986A851" w14:textId="77777777" w:rsidTr="00915109">
        <w:tc>
          <w:tcPr>
            <w:tcW w:w="1838" w:type="dxa"/>
            <w:vAlign w:val="center"/>
          </w:tcPr>
          <w:p w14:paraId="328F8EDC" w14:textId="76050BEE" w:rsidR="00915109" w:rsidRPr="00915109" w:rsidRDefault="00915109" w:rsidP="00915109">
            <w:pPr>
              <w:rPr>
                <w:b/>
                <w:sz w:val="22"/>
              </w:rPr>
            </w:pPr>
            <w:r>
              <w:rPr>
                <w:b/>
                <w:sz w:val="22"/>
              </w:rPr>
              <w:t>ECO</w:t>
            </w:r>
          </w:p>
        </w:tc>
        <w:tc>
          <w:tcPr>
            <w:tcW w:w="7371" w:type="dxa"/>
            <w:vAlign w:val="center"/>
          </w:tcPr>
          <w:p w14:paraId="48686F67" w14:textId="32E850E7" w:rsidR="00915109" w:rsidRPr="00915109" w:rsidRDefault="00915109" w:rsidP="00915109">
            <w:pPr>
              <w:jc w:val="both"/>
            </w:pPr>
            <w:r>
              <w:t>Secondary user for the data provider</w:t>
            </w:r>
            <w:r w:rsidRPr="00E443AC">
              <w:t xml:space="preserve"> is nominated by the ACO to help prepare submittals for each specific facility. The ECOs/Consultants can only prepare submittals and cannot submit them</w:t>
            </w:r>
            <w:r>
              <w:t>.</w:t>
            </w:r>
          </w:p>
        </w:tc>
      </w:tr>
      <w:tr w:rsidR="00915109" w:rsidRPr="00915109" w14:paraId="054649B0" w14:textId="77777777" w:rsidTr="00915109">
        <w:tc>
          <w:tcPr>
            <w:tcW w:w="1838" w:type="dxa"/>
            <w:vAlign w:val="center"/>
          </w:tcPr>
          <w:p w14:paraId="6DF42CD3" w14:textId="15746EF5" w:rsidR="00915109" w:rsidRPr="00915109" w:rsidRDefault="00915109" w:rsidP="00915109">
            <w:pPr>
              <w:rPr>
                <w:b/>
                <w:sz w:val="22"/>
              </w:rPr>
            </w:pPr>
            <w:r>
              <w:rPr>
                <w:b/>
                <w:sz w:val="22"/>
              </w:rPr>
              <w:t>Consultant</w:t>
            </w:r>
          </w:p>
        </w:tc>
        <w:tc>
          <w:tcPr>
            <w:tcW w:w="7371" w:type="dxa"/>
            <w:vAlign w:val="center"/>
          </w:tcPr>
          <w:p w14:paraId="4B688F17" w14:textId="7E5FBAF1" w:rsidR="00915109" w:rsidRPr="00915109" w:rsidRDefault="00915109" w:rsidP="00915109">
            <w:pPr>
              <w:jc w:val="both"/>
            </w:pPr>
            <w:r>
              <w:t xml:space="preserve">Third party user contracted by the data provider, </w:t>
            </w:r>
            <w:r w:rsidRPr="00E443AC">
              <w:t>is nominated by the ACO to help prepare submittals for ea</w:t>
            </w:r>
            <w:r>
              <w:t xml:space="preserve">ch specific facility. The consultant </w:t>
            </w:r>
            <w:r w:rsidRPr="00E443AC">
              <w:t>can only prepare submittals and cannot submit them</w:t>
            </w:r>
          </w:p>
        </w:tc>
      </w:tr>
      <w:tr w:rsidR="00915109" w:rsidRPr="00915109" w14:paraId="0DDD640B" w14:textId="77777777" w:rsidTr="00915109">
        <w:tc>
          <w:tcPr>
            <w:tcW w:w="1838" w:type="dxa"/>
            <w:vAlign w:val="center"/>
          </w:tcPr>
          <w:p w14:paraId="7485A0BA" w14:textId="6E777723" w:rsidR="00915109" w:rsidRPr="00915109" w:rsidRDefault="00915109" w:rsidP="00915109">
            <w:pPr>
              <w:rPr>
                <w:b/>
                <w:sz w:val="22"/>
              </w:rPr>
            </w:pPr>
            <w:r>
              <w:rPr>
                <w:b/>
                <w:sz w:val="22"/>
              </w:rPr>
              <w:t xml:space="preserve">Public User </w:t>
            </w:r>
          </w:p>
        </w:tc>
        <w:tc>
          <w:tcPr>
            <w:tcW w:w="7371" w:type="dxa"/>
            <w:vAlign w:val="center"/>
          </w:tcPr>
          <w:p w14:paraId="4573FDD3" w14:textId="70637AC0" w:rsidR="00915109" w:rsidRPr="00915109" w:rsidRDefault="00915109" w:rsidP="00915109">
            <w:pPr>
              <w:jc w:val="both"/>
            </w:pPr>
            <w:r>
              <w:t>Means a user on the SAGERS, with the ACO, ECO or Consultant designation.</w:t>
            </w:r>
          </w:p>
        </w:tc>
      </w:tr>
      <w:tr w:rsidR="00915109" w:rsidRPr="00915109" w14:paraId="42A739F5" w14:textId="77777777" w:rsidTr="00915109">
        <w:tc>
          <w:tcPr>
            <w:tcW w:w="1838" w:type="dxa"/>
            <w:vAlign w:val="center"/>
          </w:tcPr>
          <w:p w14:paraId="0153AC0D" w14:textId="796EABD0" w:rsidR="00915109" w:rsidRPr="00915109" w:rsidRDefault="00915109" w:rsidP="00915109">
            <w:pPr>
              <w:rPr>
                <w:b/>
                <w:sz w:val="22"/>
              </w:rPr>
            </w:pPr>
            <w:r>
              <w:rPr>
                <w:b/>
                <w:sz w:val="22"/>
              </w:rPr>
              <w:t>Submittal I.D.</w:t>
            </w:r>
          </w:p>
        </w:tc>
        <w:tc>
          <w:tcPr>
            <w:tcW w:w="7371" w:type="dxa"/>
            <w:vAlign w:val="center"/>
          </w:tcPr>
          <w:p w14:paraId="01FC2F17" w14:textId="12C8105D" w:rsidR="00915109" w:rsidRPr="00915109" w:rsidRDefault="00915109" w:rsidP="00915109">
            <w:pPr>
              <w:jc w:val="both"/>
              <w:rPr>
                <w:b/>
                <w:sz w:val="22"/>
              </w:rPr>
            </w:pPr>
            <w:r>
              <w:t>This is the number is used to track submittals on the SAGERS, in the registration process it can be used to track the status of the registration submission in SAGERS before it is approved.</w:t>
            </w:r>
          </w:p>
        </w:tc>
      </w:tr>
      <w:tr w:rsidR="00915109" w:rsidRPr="00915109" w14:paraId="68A6E8A8" w14:textId="77777777" w:rsidTr="00915109">
        <w:tc>
          <w:tcPr>
            <w:tcW w:w="1838" w:type="dxa"/>
            <w:vAlign w:val="center"/>
          </w:tcPr>
          <w:p w14:paraId="24673E9D" w14:textId="25C23EC7" w:rsidR="00915109" w:rsidRPr="00915109" w:rsidRDefault="00915109" w:rsidP="00915109">
            <w:pPr>
              <w:rPr>
                <w:b/>
                <w:sz w:val="22"/>
              </w:rPr>
            </w:pPr>
            <w:r>
              <w:rPr>
                <w:b/>
                <w:sz w:val="22"/>
              </w:rPr>
              <w:t>Data Provider I.D.</w:t>
            </w:r>
          </w:p>
        </w:tc>
        <w:tc>
          <w:tcPr>
            <w:tcW w:w="7371" w:type="dxa"/>
            <w:vAlign w:val="center"/>
          </w:tcPr>
          <w:p w14:paraId="27D9C6A8" w14:textId="7A4FF022" w:rsidR="00915109" w:rsidRPr="00915109" w:rsidRDefault="00915109" w:rsidP="00915109">
            <w:pPr>
              <w:jc w:val="both"/>
            </w:pPr>
            <w:r>
              <w:t>This is the reference number that is generated when the registration submission is approved in SAGERS. The number serves as a unique identifier for each data provider registered on the SAGERS.</w:t>
            </w:r>
          </w:p>
        </w:tc>
      </w:tr>
    </w:tbl>
    <w:p w14:paraId="47E0CDA3" w14:textId="77777777" w:rsidR="00915109" w:rsidRPr="00915109" w:rsidRDefault="00915109" w:rsidP="00915109">
      <w:pPr>
        <w:rPr>
          <w:b/>
          <w:color w:val="006600"/>
          <w:sz w:val="28"/>
        </w:rPr>
      </w:pPr>
    </w:p>
    <w:p w14:paraId="373C37D5" w14:textId="64CE78FC" w:rsidR="00527C45" w:rsidRDefault="00527C45" w:rsidP="00915109">
      <w:pPr>
        <w:jc w:val="both"/>
      </w:pPr>
    </w:p>
    <w:p w14:paraId="247C7459" w14:textId="77777777" w:rsidR="00945D4E" w:rsidRPr="00DE4CBF" w:rsidRDefault="00945D4E" w:rsidP="00042880"/>
    <w:p w14:paraId="126F09C8" w14:textId="22A3EAF2" w:rsidR="00DE4CBF" w:rsidRDefault="00DE4CBF">
      <w:pPr>
        <w:spacing w:after="200" w:line="276" w:lineRule="auto"/>
        <w:rPr>
          <w:rFonts w:eastAsiaTheme="majorEastAsia" w:cstheme="majorBidi"/>
          <w:b/>
          <w:bCs/>
          <w:color w:val="006600"/>
          <w:sz w:val="28"/>
          <w:szCs w:val="28"/>
          <w14:numForm w14:val="oldStyle"/>
        </w:rPr>
      </w:pPr>
      <w:r>
        <w:rPr>
          <w:color w:val="006600"/>
        </w:rPr>
        <w:br w:type="page"/>
      </w:r>
    </w:p>
    <w:p w14:paraId="3AF65550" w14:textId="19287259" w:rsidR="007669A8" w:rsidRPr="00D3287A" w:rsidRDefault="00E32670" w:rsidP="00D3287A">
      <w:pPr>
        <w:pStyle w:val="Heading1"/>
      </w:pPr>
      <w:bookmarkStart w:id="0" w:name="_Toc95209829"/>
      <w:bookmarkStart w:id="1" w:name="_Toc109812374"/>
      <w:r w:rsidRPr="00D3287A">
        <w:t>General Questions</w:t>
      </w:r>
      <w:bookmarkEnd w:id="0"/>
      <w:bookmarkEnd w:id="1"/>
      <w:r w:rsidRPr="00D3287A">
        <w:t xml:space="preserve"> </w:t>
      </w:r>
    </w:p>
    <w:p w14:paraId="1733BCED" w14:textId="587D5255" w:rsidR="00E32670" w:rsidRPr="00D3287A" w:rsidRDefault="00E32670" w:rsidP="00E01DFC">
      <w:pPr>
        <w:pStyle w:val="Heading2"/>
      </w:pPr>
      <w:bookmarkStart w:id="2" w:name="_Toc95209830"/>
      <w:bookmarkStart w:id="3" w:name="_Toc109812375"/>
      <w:r w:rsidRPr="00D3287A">
        <w:t>What is SAGERS</w:t>
      </w:r>
      <w:r w:rsidR="004C313B" w:rsidRPr="00D3287A">
        <w:t>?</w:t>
      </w:r>
      <w:bookmarkEnd w:id="2"/>
      <w:bookmarkEnd w:id="3"/>
    </w:p>
    <w:p w14:paraId="50FC32EB" w14:textId="688BCA06" w:rsidR="006F6357" w:rsidRDefault="003112C7" w:rsidP="00F7034F">
      <w:pPr>
        <w:jc w:val="both"/>
      </w:pPr>
      <w:r>
        <w:t>The South African Greenhouse Gas Emissions Reporting System (</w:t>
      </w:r>
      <w:r w:rsidR="007669A8">
        <w:t>SAGERS</w:t>
      </w:r>
      <w:r>
        <w:t>)</w:t>
      </w:r>
      <w:r w:rsidR="004C313B">
        <w:t xml:space="preserve"> </w:t>
      </w:r>
      <w:r w:rsidR="004745E3">
        <w:t>is the Greenhouse G</w:t>
      </w:r>
      <w:r w:rsidR="006F6357">
        <w:t>as</w:t>
      </w:r>
      <w:r w:rsidR="00FF21F2">
        <w:t xml:space="preserve"> (GHG)</w:t>
      </w:r>
      <w:r w:rsidR="006F6357">
        <w:t xml:space="preserve"> reporting module of the </w:t>
      </w:r>
      <w:r w:rsidR="003C31D4">
        <w:t>National Atmospheric Emission Inventory System (</w:t>
      </w:r>
      <w:r w:rsidR="006F6357">
        <w:t>NAEIS</w:t>
      </w:r>
      <w:r w:rsidR="003C31D4">
        <w:t>)</w:t>
      </w:r>
      <w:r w:rsidR="006F6357">
        <w:t xml:space="preserve">. Data providers that conduct activities and meet the reporting thresholds specified in Annexure 1 of the National </w:t>
      </w:r>
      <w:r w:rsidR="00BD5470">
        <w:t>GHG</w:t>
      </w:r>
      <w:r w:rsidR="006F6357">
        <w:t xml:space="preserve"> </w:t>
      </w:r>
      <w:r w:rsidR="00B3747F">
        <w:t xml:space="preserve">Emissions </w:t>
      </w:r>
      <w:r w:rsidR="006F6357">
        <w:t>Reporting Regulations</w:t>
      </w:r>
      <w:r w:rsidR="00B3747F">
        <w:t xml:space="preserve"> (NGERs)</w:t>
      </w:r>
      <w:r>
        <w:t>,</w:t>
      </w:r>
      <w:r w:rsidR="0076192E">
        <w:t xml:space="preserve"> 2016</w:t>
      </w:r>
      <w:r w:rsidR="003C31D4">
        <w:t xml:space="preserve"> </w:t>
      </w:r>
      <w:r w:rsidR="004745E3">
        <w:t>and amendment</w:t>
      </w:r>
      <w:r w:rsidR="00BD5470">
        <w:t>s</w:t>
      </w:r>
      <w:r w:rsidR="004745E3">
        <w:t xml:space="preserve"> thereof,</w:t>
      </w:r>
      <w:r w:rsidR="0076192E">
        <w:t xml:space="preserve"> </w:t>
      </w:r>
      <w:r w:rsidR="006F6357">
        <w:t>are required to register and report on the SAGERS.</w:t>
      </w:r>
    </w:p>
    <w:p w14:paraId="2198E5EE" w14:textId="79DAFD25" w:rsidR="00F05F0C" w:rsidRPr="00D3287A" w:rsidRDefault="00393E91" w:rsidP="00E01DFC">
      <w:pPr>
        <w:pStyle w:val="Heading2"/>
      </w:pPr>
      <w:bookmarkStart w:id="4" w:name="_Toc95209831"/>
      <w:bookmarkStart w:id="5" w:name="_Toc109812376"/>
      <w:r w:rsidRPr="00D3287A">
        <w:t>Which is the recommended browser for accessing the SAGERS?</w:t>
      </w:r>
      <w:bookmarkEnd w:id="4"/>
      <w:bookmarkEnd w:id="5"/>
    </w:p>
    <w:p w14:paraId="33908338" w14:textId="1A2E7E7F" w:rsidR="004718EB" w:rsidRDefault="00393E91" w:rsidP="001E01DF">
      <w:r w:rsidRPr="004813B5">
        <w:t>Google Chrome is the recommended internet browser for the SAGERS</w:t>
      </w:r>
      <w:r w:rsidR="004745E3">
        <w:t xml:space="preserve"> Portal</w:t>
      </w:r>
      <w:r w:rsidRPr="004813B5">
        <w:t>.</w:t>
      </w:r>
      <w:bookmarkStart w:id="6" w:name="_Toc53659792"/>
      <w:bookmarkStart w:id="7" w:name="_Toc55195631"/>
      <w:bookmarkStart w:id="8" w:name="_Toc55221194"/>
      <w:bookmarkStart w:id="9" w:name="_Toc55222166"/>
      <w:bookmarkStart w:id="10" w:name="_Toc55817202"/>
      <w:bookmarkStart w:id="11" w:name="_Toc53659793"/>
      <w:bookmarkStart w:id="12" w:name="_Toc55195632"/>
      <w:bookmarkStart w:id="13" w:name="_Toc55221195"/>
      <w:bookmarkStart w:id="14" w:name="_Toc55222167"/>
      <w:bookmarkStart w:id="15" w:name="_Toc55817203"/>
      <w:bookmarkStart w:id="16" w:name="_Toc53659794"/>
      <w:bookmarkStart w:id="17" w:name="_Toc55195633"/>
      <w:bookmarkStart w:id="18" w:name="_Toc55221196"/>
      <w:bookmarkStart w:id="19" w:name="_Toc55222168"/>
      <w:bookmarkStart w:id="20" w:name="_Toc5581720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6A4896A" w14:textId="0BAC8071" w:rsidR="001756FD" w:rsidRPr="00D3287A" w:rsidRDefault="00D3287A" w:rsidP="00E01DFC">
      <w:pPr>
        <w:pStyle w:val="Heading2"/>
      </w:pPr>
      <w:r w:rsidRPr="00D3287A">
        <w:t xml:space="preserve"> </w:t>
      </w:r>
      <w:bookmarkStart w:id="21" w:name="_Toc95209832"/>
      <w:bookmarkStart w:id="22" w:name="_Toc109812377"/>
      <w:r w:rsidR="001756FD" w:rsidRPr="00D3287A">
        <w:t>Do the NGERs within South Africa only use the IPCC Guidelines for instruction?</w:t>
      </w:r>
      <w:bookmarkEnd w:id="21"/>
      <w:bookmarkEnd w:id="22"/>
      <w:r w:rsidR="001756FD" w:rsidRPr="00D3287A">
        <w:t xml:space="preserve"> </w:t>
      </w:r>
    </w:p>
    <w:p w14:paraId="613888EA" w14:textId="77777777" w:rsidR="001756FD" w:rsidRDefault="001756FD" w:rsidP="001756FD">
      <w:pPr>
        <w:shd w:val="clear" w:color="auto" w:fill="FFFFFF"/>
        <w:spacing w:after="0" w:line="240" w:lineRule="auto"/>
        <w:jc w:val="both"/>
        <w:rPr>
          <w:rFonts w:eastAsia="Times New Roman" w:cs="Calibri"/>
          <w:bCs/>
        </w:rPr>
      </w:pPr>
      <w:r w:rsidRPr="009E04A1">
        <w:rPr>
          <w:rFonts w:eastAsia="Times New Roman" w:cs="Calibri"/>
          <w:bCs/>
        </w:rPr>
        <w:t xml:space="preserve">In developing the </w:t>
      </w:r>
      <w:r>
        <w:rPr>
          <w:rFonts w:eastAsia="Times New Roman" w:cs="Calibri"/>
          <w:bCs/>
        </w:rPr>
        <w:t>NGERs</w:t>
      </w:r>
      <w:r w:rsidRPr="009E04A1">
        <w:rPr>
          <w:rFonts w:eastAsia="Times New Roman" w:cs="Calibri"/>
          <w:bCs/>
        </w:rPr>
        <w:t xml:space="preserve">, South Africa not only considered the IPCC guidelines but also other factors.  For example, the </w:t>
      </w:r>
      <w:r>
        <w:rPr>
          <w:rFonts w:eastAsia="Times New Roman" w:cs="Calibri"/>
          <w:bCs/>
        </w:rPr>
        <w:t>Intergovernmental Panel on Climate Change (</w:t>
      </w:r>
      <w:r w:rsidRPr="009E04A1">
        <w:rPr>
          <w:rFonts w:eastAsia="Times New Roman" w:cs="Calibri"/>
          <w:bCs/>
        </w:rPr>
        <w:t>IPCC</w:t>
      </w:r>
      <w:r>
        <w:rPr>
          <w:rFonts w:eastAsia="Times New Roman" w:cs="Calibri"/>
          <w:bCs/>
        </w:rPr>
        <w:t>)</w:t>
      </w:r>
      <w:r w:rsidRPr="009E04A1">
        <w:rPr>
          <w:rFonts w:eastAsia="Times New Roman" w:cs="Calibri"/>
          <w:bCs/>
        </w:rPr>
        <w:t xml:space="preserve"> guidelines do not prescribe the reporting approach and do not provide guidance on the use of thre</w:t>
      </w:r>
      <w:r>
        <w:rPr>
          <w:rFonts w:eastAsia="Times New Roman" w:cs="Calibri"/>
          <w:bCs/>
        </w:rPr>
        <w:t xml:space="preserve">sholds for national reporting. </w:t>
      </w:r>
      <w:r w:rsidRPr="009E04A1">
        <w:rPr>
          <w:rFonts w:eastAsia="Times New Roman" w:cs="Calibri"/>
          <w:bCs/>
        </w:rPr>
        <w:t xml:space="preserve">Therefore, at best, the IPCC guidelines help us with methodological guidance.  </w:t>
      </w:r>
    </w:p>
    <w:p w14:paraId="50E957F1" w14:textId="77777777" w:rsidR="001756FD" w:rsidRDefault="001756FD" w:rsidP="001756FD">
      <w:pPr>
        <w:shd w:val="clear" w:color="auto" w:fill="FFFFFF"/>
        <w:spacing w:after="0" w:line="240" w:lineRule="auto"/>
        <w:jc w:val="both"/>
        <w:rPr>
          <w:rFonts w:eastAsia="Times New Roman" w:cs="Calibri"/>
          <w:bCs/>
        </w:rPr>
      </w:pPr>
    </w:p>
    <w:p w14:paraId="22DF97B6" w14:textId="77777777" w:rsidR="001756FD" w:rsidRDefault="001756FD" w:rsidP="001756FD">
      <w:pPr>
        <w:shd w:val="clear" w:color="auto" w:fill="FFFFFF"/>
        <w:spacing w:after="0" w:line="240" w:lineRule="auto"/>
        <w:jc w:val="both"/>
        <w:rPr>
          <w:rFonts w:eastAsia="Times New Roman" w:cs="Calibri"/>
          <w:bCs/>
        </w:rPr>
      </w:pPr>
      <w:r w:rsidRPr="009E04A1">
        <w:rPr>
          <w:rFonts w:eastAsia="Times New Roman" w:cs="Calibri"/>
          <w:bCs/>
        </w:rPr>
        <w:t xml:space="preserve">South Africa have made several changes in other areas that are not consistent with the IPCC guidelines, such as the treatment of combustion emissions from brick manufacturing, production of synthetic fuels from coal and gas operations. </w:t>
      </w:r>
    </w:p>
    <w:p w14:paraId="76CBEED1" w14:textId="77777777" w:rsidR="001756FD" w:rsidRDefault="001756FD" w:rsidP="001756FD">
      <w:pPr>
        <w:shd w:val="clear" w:color="auto" w:fill="FFFFFF"/>
        <w:spacing w:after="0" w:line="240" w:lineRule="auto"/>
        <w:jc w:val="both"/>
        <w:rPr>
          <w:rFonts w:eastAsia="Times New Roman" w:cs="Calibri"/>
          <w:bCs/>
        </w:rPr>
      </w:pPr>
    </w:p>
    <w:p w14:paraId="0895AFA1" w14:textId="1136BDA9" w:rsidR="001756FD" w:rsidRPr="00E01DFC" w:rsidRDefault="001756FD" w:rsidP="00833352">
      <w:pPr>
        <w:pStyle w:val="Heading2"/>
      </w:pPr>
      <w:bookmarkStart w:id="23" w:name="_Toc95209833"/>
      <w:bookmarkStart w:id="24" w:name="_Toc109812378"/>
      <w:r w:rsidRPr="00E01DFC">
        <w:t>Is there a SAGERS user guide?</w:t>
      </w:r>
      <w:bookmarkEnd w:id="23"/>
      <w:bookmarkEnd w:id="24"/>
      <w:r w:rsidRPr="00E01DFC">
        <w:t xml:space="preserve"> </w:t>
      </w:r>
    </w:p>
    <w:p w14:paraId="717F75F2" w14:textId="77777777" w:rsidR="001756FD" w:rsidRDefault="001756FD" w:rsidP="001756FD">
      <w:r>
        <w:t>Yes, there is a user guide available on the SAGERS landing page. You may access the landing page by following link below:</w:t>
      </w:r>
    </w:p>
    <w:p w14:paraId="41DCC98A" w14:textId="5996FD6F" w:rsidR="001756FD" w:rsidRDefault="00161F7F" w:rsidP="001756FD">
      <w:pPr>
        <w:pStyle w:val="ListParagraph"/>
        <w:jc w:val="both"/>
        <w:rPr>
          <w:b/>
          <w:bCs/>
          <w:color w:val="00B050"/>
        </w:rPr>
      </w:pPr>
      <w:hyperlink r:id="rId15">
        <w:r w:rsidR="3AEFBC93" w:rsidRPr="02380A39">
          <w:rPr>
            <w:rStyle w:val="Hyperlink"/>
          </w:rPr>
          <w:t xml:space="preserve">https://ghgreporting-public.environment.gov.za/GHGLanding/SAGERSHome.html </w:t>
        </w:r>
      </w:hyperlink>
      <w:r w:rsidR="3AEFBC93" w:rsidRPr="02380A39">
        <w:rPr>
          <w:b/>
          <w:bCs/>
          <w:color w:val="00B050"/>
        </w:rPr>
        <w:t xml:space="preserve"> </w:t>
      </w:r>
    </w:p>
    <w:p w14:paraId="108583AA" w14:textId="77777777" w:rsidR="009361CF" w:rsidRPr="00BD5470" w:rsidRDefault="009361CF" w:rsidP="001756FD">
      <w:pPr>
        <w:pStyle w:val="ListParagraph"/>
        <w:jc w:val="both"/>
        <w:rPr>
          <w:b/>
          <w:bCs/>
          <w:color w:val="00B050"/>
        </w:rPr>
      </w:pPr>
    </w:p>
    <w:p w14:paraId="32248EA0" w14:textId="18567663" w:rsidR="009361CF" w:rsidRPr="00843622" w:rsidRDefault="009361CF" w:rsidP="00843622">
      <w:pPr>
        <w:pStyle w:val="Heading2"/>
        <w:jc w:val="both"/>
      </w:pPr>
      <w:bookmarkStart w:id="25" w:name="_Toc109812379"/>
      <w:r w:rsidRPr="00843622">
        <w:t>The report has been sent back for amendment however when I click on the edit icon the information disappears. I have tried using another browser and get the same result.</w:t>
      </w:r>
      <w:bookmarkEnd w:id="25"/>
    </w:p>
    <w:p w14:paraId="712CB760" w14:textId="71DAAC2F" w:rsidR="000F213B" w:rsidRPr="009361CF" w:rsidRDefault="009361CF" w:rsidP="007121DE">
      <w:pPr>
        <w:spacing w:after="200" w:line="276" w:lineRule="auto"/>
      </w:pPr>
      <w:r w:rsidRPr="009361CF">
        <w:t>Please click on the small key on the address bar, delete all saved passwords and then refresh your SAGERS page.</w:t>
      </w:r>
    </w:p>
    <w:p w14:paraId="0BB14A8B" w14:textId="77777777" w:rsidR="009361CF" w:rsidRPr="009361CF" w:rsidRDefault="009361CF" w:rsidP="009361CF">
      <w:pPr>
        <w:spacing w:after="200" w:line="276" w:lineRule="auto"/>
      </w:pPr>
      <w:r w:rsidRPr="009361CF">
        <w:rPr>
          <w:noProof/>
          <w:lang w:val="en-ZA" w:eastAsia="en-ZA"/>
        </w:rPr>
        <w:drawing>
          <wp:inline distT="0" distB="0" distL="0" distR="0" wp14:anchorId="37425283" wp14:editId="06643001">
            <wp:extent cx="5731510" cy="1235710"/>
            <wp:effectExtent l="19050" t="19050" r="2159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235710"/>
                    </a:xfrm>
                    <a:prstGeom prst="rect">
                      <a:avLst/>
                    </a:prstGeom>
                    <a:ln>
                      <a:solidFill>
                        <a:srgbClr val="A9A57C"/>
                      </a:solidFill>
                    </a:ln>
                  </pic:spPr>
                </pic:pic>
              </a:graphicData>
            </a:graphic>
          </wp:inline>
        </w:drawing>
      </w:r>
    </w:p>
    <w:bookmarkStart w:id="26" w:name="_Toc109812380"/>
    <w:p w14:paraId="2B856361" w14:textId="00993828" w:rsidR="009361CF" w:rsidRPr="009361CF" w:rsidRDefault="006E3D7A" w:rsidP="009D08FD">
      <w:pPr>
        <w:pStyle w:val="Heading2"/>
      </w:pPr>
      <w:r>
        <w:rPr>
          <w:noProof/>
          <w:lang w:val="en-ZA" w:eastAsia="en-ZA"/>
        </w:rPr>
        <mc:AlternateContent>
          <mc:Choice Requires="wps">
            <w:drawing>
              <wp:anchor distT="0" distB="0" distL="114300" distR="114300" simplePos="0" relativeHeight="251658282" behindDoc="0" locked="0" layoutInCell="1" allowOverlap="1" wp14:anchorId="44B49887" wp14:editId="7308DBC8">
                <wp:simplePos x="0" y="0"/>
                <wp:positionH relativeFrom="column">
                  <wp:posOffset>2230755</wp:posOffset>
                </wp:positionH>
                <wp:positionV relativeFrom="paragraph">
                  <wp:posOffset>480060</wp:posOffset>
                </wp:positionV>
                <wp:extent cx="914400" cy="222250"/>
                <wp:effectExtent l="0" t="0" r="19050" b="25400"/>
                <wp:wrapNone/>
                <wp:docPr id="32" name="Rectangle 32"/>
                <wp:cNvGraphicFramePr/>
                <a:graphic xmlns:a="http://schemas.openxmlformats.org/drawingml/2006/main">
                  <a:graphicData uri="http://schemas.microsoft.com/office/word/2010/wordprocessingShape">
                    <wps:wsp>
                      <wps:cNvSpPr/>
                      <wps:spPr>
                        <a:xfrm>
                          <a:off x="0" y="0"/>
                          <a:ext cx="91440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A925B" id="Rectangle 32" o:spid="_x0000_s1026" style="position:absolute;margin-left:175.65pt;margin-top:37.8pt;width:1in;height:1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" filled="f" strokecolor="red" strokeweight="2pt"/>
            </w:pict>
          </mc:Fallback>
        </mc:AlternateContent>
      </w:r>
      <w:r w:rsidR="00050E7D">
        <w:t>When my GHG report is generated on the dashboard, the reporting year states 2022, as below. Does this mean that I must report data for 2022?</w:t>
      </w:r>
      <w:r w:rsidR="00A866EE">
        <w:rPr>
          <w:noProof/>
          <w:lang w:val="en-ZA" w:eastAsia="en-ZA"/>
        </w:rPr>
        <w:drawing>
          <wp:inline distT="0" distB="0" distL="0" distR="0" wp14:anchorId="2C142EC2" wp14:editId="0103F69A">
            <wp:extent cx="5259705" cy="1146175"/>
            <wp:effectExtent l="19050" t="19050" r="17145" b="1587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7"/>
                    <a:stretch>
                      <a:fillRect/>
                    </a:stretch>
                  </pic:blipFill>
                  <pic:spPr>
                    <a:xfrm>
                      <a:off x="0" y="0"/>
                      <a:ext cx="5259705" cy="1146175"/>
                    </a:xfrm>
                    <a:prstGeom prst="rect">
                      <a:avLst/>
                    </a:prstGeom>
                    <a:ln>
                      <a:solidFill>
                        <a:schemeClr val="tx1"/>
                      </a:solidFill>
                    </a:ln>
                  </pic:spPr>
                </pic:pic>
              </a:graphicData>
            </a:graphic>
          </wp:inline>
        </w:drawing>
      </w:r>
      <w:bookmarkEnd w:id="26"/>
    </w:p>
    <w:p w14:paraId="1CB6A325" w14:textId="670A639C" w:rsidR="0038448C" w:rsidRDefault="00C12A18" w:rsidP="00836D0B">
      <w:pPr>
        <w:spacing w:after="200" w:line="276" w:lineRule="auto"/>
        <w:jc w:val="both"/>
      </w:pPr>
      <w:r>
        <w:t>No. The reporting year means the year in which you are submitting your report</w:t>
      </w:r>
      <w:r w:rsidR="00102982">
        <w:t xml:space="preserve">. </w:t>
      </w:r>
      <w:r w:rsidR="00836D0B">
        <w:t>Therefore,</w:t>
      </w:r>
      <w:r w:rsidR="00102982">
        <w:t xml:space="preserve"> in the above case, you will be submitting your GHG Report by 31 March 2022</w:t>
      </w:r>
      <w:r w:rsidR="0038448C">
        <w:t>.</w:t>
      </w:r>
    </w:p>
    <w:p w14:paraId="1AED53C4" w14:textId="77777777" w:rsidR="00185A63" w:rsidRDefault="0038448C" w:rsidP="00836D0B">
      <w:pPr>
        <w:spacing w:after="200" w:line="276" w:lineRule="auto"/>
        <w:jc w:val="both"/>
      </w:pPr>
      <w:r>
        <w:t>However, the information submitted will be for the reporting period</w:t>
      </w:r>
      <w:r w:rsidR="00ED7054">
        <w:t xml:space="preserve"> 01 January 2021 to 31 December 2021. The reporting period </w:t>
      </w:r>
      <w:r w:rsidR="00173C0F">
        <w:t>means the preceding year</w:t>
      </w:r>
      <w:r w:rsidR="00AE6E7C">
        <w:t xml:space="preserve"> to the reporting year.</w:t>
      </w:r>
      <w:r w:rsidR="00836D0B">
        <w:t xml:space="preserve"> Please refer to question 4.2 for clarity</w:t>
      </w:r>
      <w:r w:rsidR="009D21A3">
        <w:t>.</w:t>
      </w:r>
    </w:p>
    <w:p w14:paraId="63C15D38" w14:textId="4242E238" w:rsidR="001756FD" w:rsidRDefault="001756FD" w:rsidP="00836D0B">
      <w:pPr>
        <w:spacing w:after="200" w:line="276" w:lineRule="auto"/>
        <w:jc w:val="both"/>
      </w:pPr>
      <w:r>
        <w:br w:type="page"/>
      </w:r>
    </w:p>
    <w:p w14:paraId="0C464C14" w14:textId="0AAFFB16" w:rsidR="001756FD" w:rsidRPr="00E01DFC" w:rsidRDefault="001756FD" w:rsidP="009D08FD">
      <w:pPr>
        <w:pStyle w:val="Heading1"/>
        <w:numPr>
          <w:ilvl w:val="0"/>
          <w:numId w:val="8"/>
        </w:numPr>
      </w:pPr>
      <w:bookmarkStart w:id="27" w:name="_Toc95209834"/>
      <w:bookmarkStart w:id="28" w:name="_Toc109812381"/>
      <w:r w:rsidRPr="00E01DFC">
        <w:t>Registration Questions</w:t>
      </w:r>
      <w:bookmarkEnd w:id="27"/>
      <w:bookmarkEnd w:id="28"/>
    </w:p>
    <w:p w14:paraId="322069D7" w14:textId="366EEF56" w:rsidR="004718EB" w:rsidRPr="00E01DFC" w:rsidRDefault="004718EB" w:rsidP="00833352">
      <w:pPr>
        <w:pStyle w:val="Heading2"/>
      </w:pPr>
      <w:bookmarkStart w:id="29" w:name="_Toc95209835"/>
      <w:bookmarkStart w:id="30" w:name="_Toc109812382"/>
      <w:r w:rsidRPr="00E01DFC">
        <w:t>Will manual registration using the Annexure 2 form still be accepted going forward?</w:t>
      </w:r>
      <w:bookmarkEnd w:id="29"/>
      <w:bookmarkEnd w:id="30"/>
      <w:r w:rsidRPr="00E01DFC">
        <w:t xml:space="preserve"> </w:t>
      </w:r>
    </w:p>
    <w:p w14:paraId="20893992" w14:textId="6696AE6E" w:rsidR="004718EB" w:rsidRPr="004718EB" w:rsidRDefault="004718EB" w:rsidP="004718EB">
      <w:pPr>
        <w:jc w:val="both"/>
        <w:rPr>
          <w:bCs/>
        </w:rPr>
      </w:pPr>
      <w:r w:rsidRPr="004718EB">
        <w:rPr>
          <w:bCs/>
        </w:rPr>
        <w:t>The Annexure 2 form will no longer be accepted as a form of registration. Facilities will need to go onto the following website and register on the SAGERS</w:t>
      </w:r>
      <w:r w:rsidR="004745E3">
        <w:rPr>
          <w:bCs/>
        </w:rPr>
        <w:t xml:space="preserve"> Portal</w:t>
      </w:r>
      <w:r w:rsidRPr="004718EB">
        <w:rPr>
          <w:bCs/>
        </w:rPr>
        <w:t>.</w:t>
      </w:r>
      <w:r w:rsidR="004745E3">
        <w:rPr>
          <w:bCs/>
        </w:rPr>
        <w:t xml:space="preserve"> The Annexure 2 form is now a part of the online portal.</w:t>
      </w:r>
    </w:p>
    <w:p w14:paraId="580F6108" w14:textId="6E221C62" w:rsidR="00E01DFC" w:rsidRDefault="00161F7F" w:rsidP="004718EB">
      <w:hyperlink r:id="rId18" w:history="1">
        <w:r w:rsidR="00E01DFC" w:rsidRPr="00E01DFC">
          <w:rPr>
            <w:rStyle w:val="Hyperlink"/>
          </w:rPr>
          <w:t>https://ghgreporting-public.environment.gov.za/pub/login</w:t>
        </w:r>
      </w:hyperlink>
    </w:p>
    <w:p w14:paraId="150959AA" w14:textId="2CA592CC" w:rsidR="003E3F74" w:rsidRPr="008C760C" w:rsidRDefault="003E3F74" w:rsidP="00833352">
      <w:pPr>
        <w:pStyle w:val="Heading2"/>
      </w:pPr>
      <w:bookmarkStart w:id="31" w:name="_Toc95209836"/>
      <w:bookmarkStart w:id="32" w:name="_Toc109812383"/>
      <w:r w:rsidRPr="008C760C">
        <w:rPr>
          <w:rStyle w:val="Heading2Char"/>
          <w:b/>
        </w:rPr>
        <w:t>How</w:t>
      </w:r>
      <w:r w:rsidRPr="008C760C">
        <w:rPr>
          <w:rStyle w:val="Heading2Char"/>
        </w:rPr>
        <w:t xml:space="preserve"> </w:t>
      </w:r>
      <w:r w:rsidRPr="008C760C">
        <w:rPr>
          <w:rStyle w:val="Heading2Char"/>
          <w:b/>
        </w:rPr>
        <w:t>does a</w:t>
      </w:r>
      <w:r w:rsidR="00E443AC" w:rsidRPr="008C760C">
        <w:rPr>
          <w:rStyle w:val="Heading2Char"/>
          <w:b/>
        </w:rPr>
        <w:t xml:space="preserve"> public user</w:t>
      </w:r>
      <w:r w:rsidRPr="008C760C">
        <w:rPr>
          <w:rStyle w:val="Heading2Char"/>
          <w:b/>
        </w:rPr>
        <w:t xml:space="preserve"> register on SAGERS?</w:t>
      </w:r>
      <w:bookmarkEnd w:id="31"/>
      <w:bookmarkEnd w:id="32"/>
      <w:r w:rsidRPr="008C760C">
        <w:t xml:space="preserve"> </w:t>
      </w:r>
    </w:p>
    <w:p w14:paraId="22C19E2F" w14:textId="7FB47303" w:rsidR="003E3F74" w:rsidRPr="003E3F74" w:rsidRDefault="003E3F74" w:rsidP="003E3F74">
      <w:pPr>
        <w:jc w:val="both"/>
        <w:rPr>
          <w:b/>
          <w:bCs/>
        </w:rPr>
      </w:pPr>
      <w:r w:rsidRPr="003E3F74">
        <w:rPr>
          <w:b/>
          <w:bCs/>
        </w:rPr>
        <w:t xml:space="preserve">Step 1: The </w:t>
      </w:r>
      <w:r w:rsidR="001756FD">
        <w:rPr>
          <w:b/>
          <w:bCs/>
        </w:rPr>
        <w:t>public user</w:t>
      </w:r>
      <w:r w:rsidR="00085190">
        <w:rPr>
          <w:b/>
          <w:bCs/>
        </w:rPr>
        <w:t xml:space="preserve"> </w:t>
      </w:r>
      <w:r w:rsidRPr="003E3F74">
        <w:rPr>
          <w:b/>
          <w:bCs/>
        </w:rPr>
        <w:t>will need to follow the below link to the SAGERS website</w:t>
      </w:r>
    </w:p>
    <w:p w14:paraId="78DE393A" w14:textId="77777777" w:rsidR="003E3F74" w:rsidRDefault="00161F7F" w:rsidP="003E3F74">
      <w:pPr>
        <w:jc w:val="both"/>
        <w:rPr>
          <w:b/>
          <w:bCs/>
          <w:color w:val="00B050"/>
        </w:rPr>
      </w:pPr>
      <w:hyperlink r:id="rId19" w:history="1">
        <w:r w:rsidR="003E3F74" w:rsidRPr="004C7172">
          <w:rPr>
            <w:rStyle w:val="Hyperlink"/>
          </w:rPr>
          <w:t>https://ghgreporting-public.environment.gov.za/GHGLanding/SAGERSHome.html</w:t>
        </w:r>
      </w:hyperlink>
      <w:r w:rsidR="003E3F74">
        <w:rPr>
          <w:b/>
          <w:bCs/>
          <w:color w:val="00B050"/>
        </w:rPr>
        <w:t xml:space="preserve"> </w:t>
      </w:r>
    </w:p>
    <w:p w14:paraId="00466334" w14:textId="45DD15F9" w:rsidR="003E3F74" w:rsidRPr="00024D70" w:rsidRDefault="003E3F74" w:rsidP="003E3F74">
      <w:pPr>
        <w:jc w:val="both"/>
        <w:rPr>
          <w:bCs/>
        </w:rPr>
      </w:pPr>
      <w:r w:rsidRPr="00024D70">
        <w:rPr>
          <w:bCs/>
        </w:rPr>
        <w:t xml:space="preserve">Once here, </w:t>
      </w:r>
      <w:r w:rsidR="00833352" w:rsidRPr="00024D70">
        <w:rPr>
          <w:bCs/>
        </w:rPr>
        <w:t xml:space="preserve">the </w:t>
      </w:r>
      <w:r w:rsidR="00833352">
        <w:rPr>
          <w:bCs/>
        </w:rPr>
        <w:t>public</w:t>
      </w:r>
      <w:r w:rsidR="00E443AC">
        <w:rPr>
          <w:bCs/>
        </w:rPr>
        <w:t xml:space="preserve"> </w:t>
      </w:r>
      <w:r w:rsidR="00833352">
        <w:rPr>
          <w:bCs/>
        </w:rPr>
        <w:t xml:space="preserve">user </w:t>
      </w:r>
      <w:r w:rsidR="00833352" w:rsidRPr="00024D70">
        <w:rPr>
          <w:bCs/>
        </w:rPr>
        <w:t>should</w:t>
      </w:r>
      <w:r w:rsidRPr="00024D70">
        <w:rPr>
          <w:bCs/>
        </w:rPr>
        <w:t xml:space="preserve"> click on the login button</w:t>
      </w:r>
      <w:r w:rsidR="000E2762">
        <w:rPr>
          <w:bCs/>
        </w:rPr>
        <w:t xml:space="preserve"> (within the red square) located under the “Public Portal (Production)” section.</w:t>
      </w:r>
    </w:p>
    <w:p w14:paraId="305C6289" w14:textId="77B82108" w:rsidR="003E3F74" w:rsidRDefault="003E3F74" w:rsidP="00F7034F">
      <w:pPr>
        <w:jc w:val="center"/>
        <w:rPr>
          <w:b/>
          <w:bCs/>
          <w:color w:val="00B050"/>
        </w:rPr>
      </w:pPr>
      <w:r>
        <w:rPr>
          <w:noProof/>
          <w:lang w:val="en-ZA" w:eastAsia="en-ZA"/>
        </w:rPr>
        <mc:AlternateContent>
          <mc:Choice Requires="wps">
            <w:drawing>
              <wp:anchor distT="0" distB="0" distL="114300" distR="114300" simplePos="0" relativeHeight="251658261" behindDoc="0" locked="0" layoutInCell="1" allowOverlap="1" wp14:anchorId="7AC4FBF8" wp14:editId="4CEF53E0">
                <wp:simplePos x="0" y="0"/>
                <wp:positionH relativeFrom="column">
                  <wp:posOffset>2111403</wp:posOffset>
                </wp:positionH>
                <wp:positionV relativeFrom="paragraph">
                  <wp:posOffset>1402163</wp:posOffset>
                </wp:positionV>
                <wp:extent cx="495300" cy="228600"/>
                <wp:effectExtent l="0" t="0" r="19050" b="19050"/>
                <wp:wrapNone/>
                <wp:docPr id="179227" name="Rectangle 179227"/>
                <wp:cNvGraphicFramePr/>
                <a:graphic xmlns:a="http://schemas.openxmlformats.org/drawingml/2006/main">
                  <a:graphicData uri="http://schemas.microsoft.com/office/word/2010/wordprocessingShape">
                    <wps:wsp>
                      <wps:cNvSpPr/>
                      <wps:spPr>
                        <a:xfrm>
                          <a:off x="0" y="0"/>
                          <a:ext cx="4953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80BC8" id="Rectangle 179227" o:spid="_x0000_s1026" style="position:absolute;margin-left:166.25pt;margin-top:110.4pt;width:39pt;height: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" filled="f" strokecolor="red" strokeweight="2pt"/>
            </w:pict>
          </mc:Fallback>
        </mc:AlternateContent>
      </w:r>
      <w:r>
        <w:rPr>
          <w:noProof/>
          <w:lang w:val="en-ZA" w:eastAsia="en-ZA"/>
        </w:rPr>
        <w:drawing>
          <wp:inline distT="0" distB="0" distL="0" distR="0" wp14:anchorId="17F4B86C" wp14:editId="6012CADC">
            <wp:extent cx="5270334" cy="2757203"/>
            <wp:effectExtent l="19050" t="19050" r="26035" b="24130"/>
            <wp:docPr id="179222" name="Picture 17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3691" cy="2758959"/>
                    </a:xfrm>
                    <a:prstGeom prst="rect">
                      <a:avLst/>
                    </a:prstGeom>
                    <a:ln>
                      <a:solidFill>
                        <a:schemeClr val="tx1"/>
                      </a:solidFill>
                    </a:ln>
                  </pic:spPr>
                </pic:pic>
              </a:graphicData>
            </a:graphic>
          </wp:inline>
        </w:drawing>
      </w:r>
    </w:p>
    <w:p w14:paraId="70330216" w14:textId="77777777" w:rsidR="000E2762" w:rsidRDefault="003E3F74" w:rsidP="003E3F74">
      <w:pPr>
        <w:jc w:val="both"/>
        <w:rPr>
          <w:b/>
          <w:bCs/>
        </w:rPr>
      </w:pPr>
      <w:r w:rsidRPr="003E3F74">
        <w:rPr>
          <w:b/>
          <w:bCs/>
        </w:rPr>
        <w:t xml:space="preserve">Step 2: The below page will open in your browser. </w:t>
      </w:r>
    </w:p>
    <w:p w14:paraId="09955210" w14:textId="277BC6FC" w:rsidR="003E3F74" w:rsidRPr="000E2762" w:rsidRDefault="00A02DEB" w:rsidP="003E3F74">
      <w:pPr>
        <w:jc w:val="both"/>
        <w:rPr>
          <w:bCs/>
        </w:rPr>
      </w:pPr>
      <w:r w:rsidRPr="000E2762">
        <w:rPr>
          <w:bCs/>
        </w:rPr>
        <w:t xml:space="preserve">The </w:t>
      </w:r>
      <w:r>
        <w:rPr>
          <w:bCs/>
        </w:rPr>
        <w:t>public</w:t>
      </w:r>
      <w:r w:rsidR="00E443AC">
        <w:rPr>
          <w:bCs/>
        </w:rPr>
        <w:t xml:space="preserve"> </w:t>
      </w:r>
      <w:r>
        <w:rPr>
          <w:bCs/>
        </w:rPr>
        <w:t xml:space="preserve">user </w:t>
      </w:r>
      <w:r w:rsidRPr="000E2762">
        <w:rPr>
          <w:bCs/>
        </w:rPr>
        <w:t>should</w:t>
      </w:r>
      <w:r w:rsidR="003E3F74" w:rsidRPr="000E2762">
        <w:rPr>
          <w:bCs/>
        </w:rPr>
        <w:t xml:space="preserve"> then click </w:t>
      </w:r>
      <w:r w:rsidR="00477C49">
        <w:rPr>
          <w:bCs/>
        </w:rPr>
        <w:t>on “</w:t>
      </w:r>
      <w:r w:rsidR="003E3F74" w:rsidRPr="000E2762">
        <w:rPr>
          <w:bCs/>
        </w:rPr>
        <w:t>Register Account</w:t>
      </w:r>
      <w:r w:rsidR="00477C49">
        <w:rPr>
          <w:bCs/>
        </w:rPr>
        <w:t>”</w:t>
      </w:r>
      <w:r w:rsidR="003E3F74" w:rsidRPr="000E2762">
        <w:rPr>
          <w:bCs/>
        </w:rPr>
        <w:t>.</w:t>
      </w:r>
    </w:p>
    <w:p w14:paraId="4079F4D2" w14:textId="343690BE" w:rsidR="003E3F74" w:rsidRDefault="003E3F74" w:rsidP="007C6DF1">
      <w:pPr>
        <w:jc w:val="center"/>
      </w:pPr>
      <w:r>
        <w:rPr>
          <w:noProof/>
          <w:lang w:val="en-ZA" w:eastAsia="en-ZA"/>
        </w:rPr>
        <mc:AlternateContent>
          <mc:Choice Requires="wps">
            <w:drawing>
              <wp:anchor distT="0" distB="0" distL="114300" distR="114300" simplePos="0" relativeHeight="251658262" behindDoc="0" locked="0" layoutInCell="1" allowOverlap="1" wp14:anchorId="2C5BA629" wp14:editId="3237B58E">
                <wp:simplePos x="0" y="0"/>
                <wp:positionH relativeFrom="column">
                  <wp:posOffset>2640330</wp:posOffset>
                </wp:positionH>
                <wp:positionV relativeFrom="paragraph">
                  <wp:posOffset>2293013</wp:posOffset>
                </wp:positionV>
                <wp:extent cx="762000" cy="400050"/>
                <wp:effectExtent l="0" t="0" r="19050" b="19050"/>
                <wp:wrapNone/>
                <wp:docPr id="179228" name="Rectangle 179228"/>
                <wp:cNvGraphicFramePr/>
                <a:graphic xmlns:a="http://schemas.openxmlformats.org/drawingml/2006/main">
                  <a:graphicData uri="http://schemas.microsoft.com/office/word/2010/wordprocessingShape">
                    <wps:wsp>
                      <wps:cNvSpPr/>
                      <wps:spPr>
                        <a:xfrm>
                          <a:off x="0" y="0"/>
                          <a:ext cx="76200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BC192" id="Rectangle 179228" o:spid="_x0000_s1026" style="position:absolute;margin-left:207.9pt;margin-top:180.55pt;width:60pt;height:31.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" filled="f" strokecolor="red" strokeweight="2pt"/>
            </w:pict>
          </mc:Fallback>
        </mc:AlternateContent>
      </w:r>
      <w:r>
        <w:rPr>
          <w:noProof/>
          <w:lang w:val="en-ZA" w:eastAsia="en-ZA"/>
        </w:rPr>
        <w:drawing>
          <wp:inline distT="0" distB="0" distL="0" distR="0" wp14:anchorId="57B01128" wp14:editId="0ED606BD">
            <wp:extent cx="3028950" cy="2907665"/>
            <wp:effectExtent l="19050" t="19050" r="19050" b="26035"/>
            <wp:docPr id="179223" name="Picture 17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266" r="23886"/>
                    <a:stretch/>
                  </pic:blipFill>
                  <pic:spPr bwMode="auto">
                    <a:xfrm>
                      <a:off x="0" y="0"/>
                      <a:ext cx="3028950" cy="290766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98A183" w14:textId="625C88CB" w:rsidR="00B85482" w:rsidRDefault="003E3F74" w:rsidP="003E3F74">
      <w:pPr>
        <w:jc w:val="both"/>
        <w:rPr>
          <w:b/>
          <w:bCs/>
        </w:rPr>
      </w:pPr>
      <w:r w:rsidRPr="003E3F74">
        <w:rPr>
          <w:b/>
          <w:bCs/>
        </w:rPr>
        <w:t xml:space="preserve">Step 3: The following tab will open once the data provider clicks on </w:t>
      </w:r>
      <w:r w:rsidR="000E2762">
        <w:rPr>
          <w:b/>
          <w:bCs/>
        </w:rPr>
        <w:t>“</w:t>
      </w:r>
      <w:r w:rsidRPr="003E3F74">
        <w:rPr>
          <w:b/>
          <w:bCs/>
        </w:rPr>
        <w:t>Register Account</w:t>
      </w:r>
      <w:r w:rsidR="000E2762">
        <w:rPr>
          <w:b/>
          <w:bCs/>
        </w:rPr>
        <w:t>”</w:t>
      </w:r>
      <w:r w:rsidRPr="003E3F74">
        <w:rPr>
          <w:b/>
          <w:bCs/>
        </w:rPr>
        <w:t xml:space="preserve">. </w:t>
      </w:r>
    </w:p>
    <w:p w14:paraId="57B332F4" w14:textId="24B4FACC" w:rsidR="009C5663" w:rsidRDefault="00E24753" w:rsidP="003E3F74">
      <w:pPr>
        <w:jc w:val="both"/>
        <w:rPr>
          <w:bCs/>
        </w:rPr>
      </w:pPr>
      <w:r w:rsidRPr="00B85482">
        <w:rPr>
          <w:bCs/>
        </w:rPr>
        <w:t xml:space="preserve">The </w:t>
      </w:r>
      <w:r>
        <w:rPr>
          <w:bCs/>
        </w:rPr>
        <w:t>public</w:t>
      </w:r>
      <w:r w:rsidR="00E443AC">
        <w:rPr>
          <w:bCs/>
        </w:rPr>
        <w:t xml:space="preserve"> </w:t>
      </w:r>
      <w:r>
        <w:rPr>
          <w:bCs/>
        </w:rPr>
        <w:t xml:space="preserve">user </w:t>
      </w:r>
      <w:r w:rsidRPr="00B85482">
        <w:rPr>
          <w:bCs/>
        </w:rPr>
        <w:t>will</w:t>
      </w:r>
      <w:r w:rsidR="003E3F74" w:rsidRPr="00B85482">
        <w:rPr>
          <w:bCs/>
        </w:rPr>
        <w:t xml:space="preserve"> need to fill his/her personal information</w:t>
      </w:r>
      <w:r w:rsidR="00E303EC">
        <w:rPr>
          <w:bCs/>
        </w:rPr>
        <w:t xml:space="preserve"> shown in </w:t>
      </w:r>
      <w:r w:rsidR="009C5663">
        <w:rPr>
          <w:bCs/>
        </w:rPr>
        <w:t xml:space="preserve">the </w:t>
      </w:r>
      <w:r w:rsidR="00E303EC">
        <w:rPr>
          <w:bCs/>
        </w:rPr>
        <w:t>two (2) images below</w:t>
      </w:r>
      <w:r w:rsidR="003E3F74" w:rsidRPr="00B85482">
        <w:rPr>
          <w:bCs/>
        </w:rPr>
        <w:t xml:space="preserve"> before clicking on “Next” to move to the next tab. </w:t>
      </w:r>
    </w:p>
    <w:p w14:paraId="21B2014B" w14:textId="4773929F" w:rsidR="003E3F74" w:rsidRPr="00B85482" w:rsidRDefault="003E3F74" w:rsidP="003E3F74">
      <w:pPr>
        <w:jc w:val="both"/>
        <w:rPr>
          <w:bCs/>
        </w:rPr>
      </w:pPr>
      <w:r w:rsidRPr="00B85482">
        <w:rPr>
          <w:bCs/>
        </w:rPr>
        <w:t xml:space="preserve">A username (used to log onto the site in future) </w:t>
      </w:r>
      <w:r w:rsidR="00CF7F54" w:rsidRPr="00CF7F54">
        <w:rPr>
          <w:bCs/>
        </w:rPr>
        <w:t>will be created, by the system, based on your first and last names.</w:t>
      </w:r>
      <w:r w:rsidR="009C5663">
        <w:rPr>
          <w:bCs/>
        </w:rPr>
        <w:t xml:space="preserve"> Note that you may change your username on this form before moving onto the next tab.</w:t>
      </w:r>
    </w:p>
    <w:p w14:paraId="44E86E64" w14:textId="77777777" w:rsidR="003E3F74" w:rsidRDefault="003E3F74" w:rsidP="003E3F74">
      <w:r>
        <w:rPr>
          <w:noProof/>
          <w:lang w:val="en-ZA" w:eastAsia="en-ZA"/>
        </w:rPr>
        <w:drawing>
          <wp:inline distT="0" distB="0" distL="0" distR="0" wp14:anchorId="416C2395" wp14:editId="4E388401">
            <wp:extent cx="5731510" cy="2266950"/>
            <wp:effectExtent l="19050" t="19050" r="21590" b="19050"/>
            <wp:docPr id="179224" name="Picture 17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06" b="5832"/>
                    <a:stretch/>
                  </pic:blipFill>
                  <pic:spPr bwMode="auto">
                    <a:xfrm>
                      <a:off x="0" y="0"/>
                      <a:ext cx="5731510" cy="2266950"/>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8E8075" w14:textId="3C160221" w:rsidR="003E3F74" w:rsidRDefault="003E3F74" w:rsidP="003E3F74">
      <w:r>
        <w:rPr>
          <w:noProof/>
          <w:lang w:val="en-ZA" w:eastAsia="en-ZA"/>
        </w:rPr>
        <mc:AlternateContent>
          <mc:Choice Requires="wps">
            <w:drawing>
              <wp:anchor distT="0" distB="0" distL="114300" distR="114300" simplePos="0" relativeHeight="251658263" behindDoc="0" locked="0" layoutInCell="1" allowOverlap="1" wp14:anchorId="29BFEA2D" wp14:editId="12BB7220">
                <wp:simplePos x="0" y="0"/>
                <wp:positionH relativeFrom="column">
                  <wp:posOffset>4821555</wp:posOffset>
                </wp:positionH>
                <wp:positionV relativeFrom="paragraph">
                  <wp:posOffset>2011045</wp:posOffset>
                </wp:positionV>
                <wp:extent cx="561975" cy="342900"/>
                <wp:effectExtent l="0" t="0" r="28575" b="19050"/>
                <wp:wrapNone/>
                <wp:docPr id="179229" name="Rectangle 179229"/>
                <wp:cNvGraphicFramePr/>
                <a:graphic xmlns:a="http://schemas.openxmlformats.org/drawingml/2006/main">
                  <a:graphicData uri="http://schemas.microsoft.com/office/word/2010/wordprocessingShape">
                    <wps:wsp>
                      <wps:cNvSpPr/>
                      <wps:spPr>
                        <a:xfrm>
                          <a:off x="0" y="0"/>
                          <a:ext cx="56197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3B8E1" id="Rectangle 179229" o:spid="_x0000_s1026" style="position:absolute;margin-left:379.65pt;margin-top:158.35pt;width:44.25pt;height:27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" filled="f" strokecolor="red" strokeweight="2pt"/>
            </w:pict>
          </mc:Fallback>
        </mc:AlternateContent>
      </w:r>
      <w:r>
        <w:rPr>
          <w:noProof/>
          <w:lang w:val="en-ZA" w:eastAsia="en-ZA"/>
        </w:rPr>
        <w:drawing>
          <wp:inline distT="0" distB="0" distL="0" distR="0" wp14:anchorId="49B88EF3" wp14:editId="0F4E8D6E">
            <wp:extent cx="5731510" cy="2481580"/>
            <wp:effectExtent l="19050" t="19050" r="21590" b="13970"/>
            <wp:docPr id="179225" name="Picture 17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481580"/>
                    </a:xfrm>
                    <a:prstGeom prst="rect">
                      <a:avLst/>
                    </a:prstGeom>
                    <a:ln>
                      <a:solidFill>
                        <a:schemeClr val="tx1"/>
                      </a:solidFill>
                    </a:ln>
                  </pic:spPr>
                </pic:pic>
              </a:graphicData>
            </a:graphic>
          </wp:inline>
        </w:drawing>
      </w:r>
    </w:p>
    <w:p w14:paraId="043D4041" w14:textId="6923AA78" w:rsidR="00345AF4" w:rsidRDefault="003E3F74" w:rsidP="003E3F74">
      <w:pPr>
        <w:jc w:val="both"/>
        <w:rPr>
          <w:b/>
          <w:bCs/>
        </w:rPr>
      </w:pPr>
      <w:r w:rsidRPr="00954941">
        <w:rPr>
          <w:b/>
          <w:bCs/>
        </w:rPr>
        <w:t>Step 4: The next tab allows you to choose you</w:t>
      </w:r>
      <w:r w:rsidR="00345AF4">
        <w:rPr>
          <w:b/>
          <w:bCs/>
        </w:rPr>
        <w:t>r account type.</w:t>
      </w:r>
    </w:p>
    <w:p w14:paraId="304C5E36" w14:textId="1F10ED42" w:rsidR="00E24753" w:rsidRDefault="00345AF4" w:rsidP="00E24753">
      <w:pPr>
        <w:jc w:val="both"/>
        <w:rPr>
          <w:bCs/>
        </w:rPr>
      </w:pPr>
      <w:r w:rsidRPr="00345AF4">
        <w:rPr>
          <w:bCs/>
        </w:rPr>
        <w:t>You may choose either</w:t>
      </w:r>
      <w:r w:rsidR="003E3F74" w:rsidRPr="00345AF4">
        <w:rPr>
          <w:bCs/>
        </w:rPr>
        <w:t xml:space="preserve"> </w:t>
      </w:r>
      <w:r w:rsidR="00477C49" w:rsidRPr="00345AF4">
        <w:rPr>
          <w:bCs/>
        </w:rPr>
        <w:t>ACO</w:t>
      </w:r>
      <w:r w:rsidR="003E3F74" w:rsidRPr="00345AF4">
        <w:rPr>
          <w:bCs/>
        </w:rPr>
        <w:t>, ECO/Consultant or Other.</w:t>
      </w:r>
      <w:r w:rsidR="003E3F74" w:rsidRPr="00954941">
        <w:rPr>
          <w:b/>
          <w:bCs/>
        </w:rPr>
        <w:t xml:space="preserve"> </w:t>
      </w:r>
      <w:r w:rsidR="003E3F74" w:rsidRPr="00B85482">
        <w:rPr>
          <w:bCs/>
        </w:rPr>
        <w:t xml:space="preserve">The </w:t>
      </w:r>
      <w:r w:rsidR="00E443AC">
        <w:rPr>
          <w:bCs/>
        </w:rPr>
        <w:t xml:space="preserve">public </w:t>
      </w:r>
      <w:r w:rsidR="00E24753">
        <w:rPr>
          <w:bCs/>
        </w:rPr>
        <w:t xml:space="preserve">user </w:t>
      </w:r>
      <w:r w:rsidR="00E24753" w:rsidRPr="00B85482">
        <w:rPr>
          <w:bCs/>
        </w:rPr>
        <w:t>will</w:t>
      </w:r>
      <w:r w:rsidR="003E3F74" w:rsidRPr="00B85482">
        <w:rPr>
          <w:bCs/>
        </w:rPr>
        <w:t xml:space="preserve"> need to choose </w:t>
      </w:r>
      <w:r w:rsidR="000373B1">
        <w:rPr>
          <w:bCs/>
        </w:rPr>
        <w:t>the relevant</w:t>
      </w:r>
      <w:r w:rsidR="001756FD">
        <w:rPr>
          <w:bCs/>
        </w:rPr>
        <w:t xml:space="preserve"> </w:t>
      </w:r>
      <w:r w:rsidR="00E24753">
        <w:rPr>
          <w:bCs/>
        </w:rPr>
        <w:t>account type</w:t>
      </w:r>
      <w:r w:rsidR="000373B1">
        <w:rPr>
          <w:bCs/>
        </w:rPr>
        <w:t xml:space="preserve"> before</w:t>
      </w:r>
      <w:r w:rsidR="003E3F74" w:rsidRPr="00B85482">
        <w:rPr>
          <w:bCs/>
        </w:rPr>
        <w:t xml:space="preserve"> moving to the next tab. </w:t>
      </w:r>
      <w:r w:rsidR="001756FD">
        <w:rPr>
          <w:bCs/>
        </w:rPr>
        <w:t xml:space="preserve"> See account type definitions above.</w:t>
      </w:r>
    </w:p>
    <w:p w14:paraId="0ECFFE9E" w14:textId="676AB4DF" w:rsidR="003E3F74" w:rsidRDefault="00E24753" w:rsidP="00E24753">
      <w:pPr>
        <w:jc w:val="both"/>
      </w:pPr>
      <w:r>
        <w:rPr>
          <w:noProof/>
          <w:lang w:val="en-ZA" w:eastAsia="en-ZA"/>
        </w:rPr>
        <mc:AlternateContent>
          <mc:Choice Requires="wps">
            <w:drawing>
              <wp:anchor distT="0" distB="0" distL="114300" distR="114300" simplePos="0" relativeHeight="251658264" behindDoc="0" locked="0" layoutInCell="1" allowOverlap="1" wp14:anchorId="4FD5787A" wp14:editId="2F079418">
                <wp:simplePos x="0" y="0"/>
                <wp:positionH relativeFrom="column">
                  <wp:posOffset>268605</wp:posOffset>
                </wp:positionH>
                <wp:positionV relativeFrom="paragraph">
                  <wp:posOffset>593725</wp:posOffset>
                </wp:positionV>
                <wp:extent cx="1485900" cy="342900"/>
                <wp:effectExtent l="0" t="0" r="19050" b="19050"/>
                <wp:wrapNone/>
                <wp:docPr id="179230" name="Rectangle 179230"/>
                <wp:cNvGraphicFramePr/>
                <a:graphic xmlns:a="http://schemas.openxmlformats.org/drawingml/2006/main">
                  <a:graphicData uri="http://schemas.microsoft.com/office/word/2010/wordprocessingShape">
                    <wps:wsp>
                      <wps:cNvSpPr/>
                      <wps:spPr>
                        <a:xfrm>
                          <a:off x="0" y="0"/>
                          <a:ext cx="14859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FFC92" id="Rectangle 179230" o:spid="_x0000_s1026" style="position:absolute;margin-left:21.15pt;margin-top:46.75pt;width:117pt;height:27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" filled="f" strokecolor="red" strokeweight="2pt"/>
            </w:pict>
          </mc:Fallback>
        </mc:AlternateContent>
      </w:r>
      <w:r w:rsidR="003E3F74">
        <w:rPr>
          <w:noProof/>
          <w:lang w:val="en-ZA" w:eastAsia="en-ZA"/>
        </w:rPr>
        <w:drawing>
          <wp:inline distT="0" distB="0" distL="0" distR="0" wp14:anchorId="54B59114" wp14:editId="4A185AAD">
            <wp:extent cx="5731510" cy="2002790"/>
            <wp:effectExtent l="19050" t="19050" r="21590" b="16510"/>
            <wp:docPr id="179226" name="Picture 17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323"/>
                    <a:stretch/>
                  </pic:blipFill>
                  <pic:spPr bwMode="auto">
                    <a:xfrm>
                      <a:off x="0" y="0"/>
                      <a:ext cx="5731510" cy="2002790"/>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2DC30F" w14:textId="77777777" w:rsidR="00B85482" w:rsidRDefault="003E3F74" w:rsidP="003E3F74">
      <w:pPr>
        <w:jc w:val="both"/>
        <w:rPr>
          <w:b/>
          <w:bCs/>
        </w:rPr>
      </w:pPr>
      <w:r w:rsidRPr="00954941">
        <w:rPr>
          <w:b/>
          <w:bCs/>
        </w:rPr>
        <w:t xml:space="preserve">Step 5: The data provider will then need to choose five (5) security questions from the drop-down menu and provide answers to them. </w:t>
      </w:r>
    </w:p>
    <w:p w14:paraId="121D32A9" w14:textId="08A0F1F1" w:rsidR="003E3F74" w:rsidRPr="00B85482" w:rsidRDefault="003E3F74" w:rsidP="003E3F74">
      <w:pPr>
        <w:jc w:val="both"/>
        <w:rPr>
          <w:bCs/>
        </w:rPr>
      </w:pPr>
      <w:r w:rsidRPr="00B85482">
        <w:rPr>
          <w:bCs/>
        </w:rPr>
        <w:t>These security questions and answers will need to be remembered for future submissions.</w:t>
      </w:r>
    </w:p>
    <w:p w14:paraId="052D270F" w14:textId="77777777" w:rsidR="003E3F74" w:rsidRDefault="003E3F74" w:rsidP="00955DF6">
      <w:r>
        <w:rPr>
          <w:noProof/>
          <w:lang w:val="en-ZA" w:eastAsia="en-ZA"/>
        </w:rPr>
        <w:drawing>
          <wp:inline distT="0" distB="0" distL="0" distR="0" wp14:anchorId="0B0B844C" wp14:editId="30CCEC8A">
            <wp:extent cx="5894696" cy="2705100"/>
            <wp:effectExtent l="19050" t="19050" r="1143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06" r="2947" b="11207"/>
                    <a:stretch/>
                  </pic:blipFill>
                  <pic:spPr bwMode="auto">
                    <a:xfrm>
                      <a:off x="0" y="0"/>
                      <a:ext cx="5903678" cy="2709222"/>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92E24D" w14:textId="77777777" w:rsidR="00651EA3" w:rsidRDefault="003E3F74" w:rsidP="00954941">
      <w:pPr>
        <w:jc w:val="both"/>
        <w:rPr>
          <w:b/>
          <w:bCs/>
        </w:rPr>
      </w:pPr>
      <w:r w:rsidRPr="00954941">
        <w:rPr>
          <w:b/>
          <w:bCs/>
        </w:rPr>
        <w:t>Step 6: The final tab allows you to review your personal information and then register.</w:t>
      </w:r>
    </w:p>
    <w:p w14:paraId="50A0566D" w14:textId="556D8C23" w:rsidR="004718EB" w:rsidRDefault="003E3F74" w:rsidP="00954941">
      <w:pPr>
        <w:jc w:val="both"/>
        <w:rPr>
          <w:bCs/>
        </w:rPr>
      </w:pPr>
      <w:r w:rsidRPr="00651EA3">
        <w:rPr>
          <w:bCs/>
        </w:rPr>
        <w:t>Once you click on regis</w:t>
      </w:r>
      <w:r w:rsidR="003A683C">
        <w:rPr>
          <w:bCs/>
        </w:rPr>
        <w:t>ter an</w:t>
      </w:r>
      <w:r w:rsidRPr="00651EA3">
        <w:rPr>
          <w:bCs/>
        </w:rPr>
        <w:t xml:space="preserve"> email will be sent to you with your password allowing you to log onto the SAGERS </w:t>
      </w:r>
      <w:r w:rsidR="003A683C">
        <w:rPr>
          <w:bCs/>
        </w:rPr>
        <w:t>Portal</w:t>
      </w:r>
      <w:r w:rsidRPr="00651EA3">
        <w:rPr>
          <w:bCs/>
        </w:rPr>
        <w:t xml:space="preserve"> again. A pin will also be sent to you which the data provider will use to submit documents along with the security question answers. Both the password and pin can be changed on the system once you login.</w:t>
      </w:r>
    </w:p>
    <w:p w14:paraId="08B831BB" w14:textId="15F46C98" w:rsidR="00EB372E" w:rsidRDefault="00EB372E" w:rsidP="00E24753">
      <w:pPr>
        <w:pStyle w:val="Heading2"/>
      </w:pPr>
      <w:bookmarkStart w:id="33" w:name="_Toc33626052"/>
      <w:bookmarkStart w:id="34" w:name="_Toc53659799"/>
      <w:bookmarkStart w:id="35" w:name="_Toc55195639"/>
      <w:bookmarkStart w:id="36" w:name="_Toc55221202"/>
      <w:bookmarkStart w:id="37" w:name="_Toc55222174"/>
      <w:bookmarkStart w:id="38" w:name="_Toc55817210"/>
      <w:bookmarkStart w:id="39" w:name="_Toc53659800"/>
      <w:bookmarkStart w:id="40" w:name="_Toc55195640"/>
      <w:bookmarkStart w:id="41" w:name="_Toc55221203"/>
      <w:bookmarkStart w:id="42" w:name="_Toc55222175"/>
      <w:bookmarkStart w:id="43" w:name="_Toc55817211"/>
      <w:bookmarkStart w:id="44" w:name="_Toc95209837"/>
      <w:bookmarkStart w:id="45" w:name="_Toc109812384"/>
      <w:bookmarkEnd w:id="33"/>
      <w:bookmarkEnd w:id="34"/>
      <w:bookmarkEnd w:id="35"/>
      <w:bookmarkEnd w:id="36"/>
      <w:bookmarkEnd w:id="37"/>
      <w:bookmarkEnd w:id="38"/>
      <w:bookmarkEnd w:id="39"/>
      <w:bookmarkEnd w:id="40"/>
      <w:bookmarkEnd w:id="41"/>
      <w:bookmarkEnd w:id="42"/>
      <w:bookmarkEnd w:id="43"/>
      <w:r w:rsidRPr="00EB372E">
        <w:t>How does a data provider decide which IPCC Code is suitable to his/her facility?</w:t>
      </w:r>
      <w:bookmarkEnd w:id="44"/>
      <w:bookmarkEnd w:id="45"/>
    </w:p>
    <w:p w14:paraId="623063F8" w14:textId="2DD5113B" w:rsidR="00EB372E" w:rsidRDefault="00EB372E" w:rsidP="00EB372E">
      <w:pPr>
        <w:jc w:val="both"/>
      </w:pPr>
      <w:r w:rsidRPr="00EB372E">
        <w:t xml:space="preserve">The data provider will be required to go through the </w:t>
      </w:r>
      <w:r w:rsidR="003C31D4">
        <w:t>NGERs</w:t>
      </w:r>
      <w:r w:rsidRPr="00EB372E">
        <w:t>, 201</w:t>
      </w:r>
      <w:r w:rsidR="00D430CD">
        <w:t>6</w:t>
      </w:r>
      <w:r w:rsidR="00760CAA">
        <w:t xml:space="preserve"> including amendments to the regulations</w:t>
      </w:r>
      <w:r w:rsidRPr="00EB372E">
        <w:t xml:space="preserve"> as well as the </w:t>
      </w:r>
      <w:r>
        <w:t xml:space="preserve">Methodological </w:t>
      </w:r>
      <w:r w:rsidRPr="00EB372E">
        <w:t>Guidelines for Monitoring, Reporting and Verification of Greenhouse Gas Emissions by Industry. The documents can be found by following the links below:</w:t>
      </w:r>
    </w:p>
    <w:p w14:paraId="088355C1" w14:textId="290F496E" w:rsidR="00EB372E" w:rsidRPr="00EB372E" w:rsidRDefault="00EB372E" w:rsidP="009D08FD">
      <w:pPr>
        <w:pStyle w:val="ListParagraph"/>
        <w:numPr>
          <w:ilvl w:val="0"/>
          <w:numId w:val="9"/>
        </w:numPr>
        <w:spacing w:line="259" w:lineRule="auto"/>
        <w:jc w:val="both"/>
        <w:rPr>
          <w:b/>
          <w:bCs/>
          <w:color w:val="006600"/>
        </w:rPr>
      </w:pPr>
      <w:r w:rsidRPr="00EB372E">
        <w:rPr>
          <w:b/>
          <w:bCs/>
          <w:color w:val="006600"/>
        </w:rPr>
        <w:t>Greenhouse Gas</w:t>
      </w:r>
      <w:r w:rsidR="00474BF7">
        <w:rPr>
          <w:b/>
          <w:bCs/>
          <w:color w:val="006600"/>
        </w:rPr>
        <w:t xml:space="preserve"> Emission</w:t>
      </w:r>
      <w:r w:rsidRPr="00EB372E">
        <w:rPr>
          <w:b/>
          <w:bCs/>
          <w:color w:val="006600"/>
        </w:rPr>
        <w:t xml:space="preserve"> Reporting Regulations, 2017</w:t>
      </w:r>
    </w:p>
    <w:p w14:paraId="317D78DF" w14:textId="3FC6AFD9" w:rsidR="00EB372E" w:rsidRDefault="00161F7F" w:rsidP="00EB372E">
      <w:pPr>
        <w:pStyle w:val="ListParagraph"/>
        <w:jc w:val="both"/>
        <w:rPr>
          <w:b/>
          <w:bCs/>
          <w:color w:val="00B050"/>
        </w:rPr>
      </w:pPr>
      <w:hyperlink r:id="rId26" w:history="1">
        <w:r w:rsidR="00EB372E" w:rsidRPr="004C7172">
          <w:rPr>
            <w:rStyle w:val="Hyperlink"/>
          </w:rPr>
          <w:t>https://www.environment.gov.za/sites/default/files/legislations/nemaqa39of2004_nationalgreenhousegasemissionreporting_gn40762_0.pdf</w:t>
        </w:r>
      </w:hyperlink>
      <w:r w:rsidR="00EB372E">
        <w:rPr>
          <w:b/>
          <w:bCs/>
          <w:color w:val="00B050"/>
        </w:rPr>
        <w:t xml:space="preserve"> </w:t>
      </w:r>
    </w:p>
    <w:p w14:paraId="4454E828" w14:textId="05508EF8" w:rsidR="001E01DF" w:rsidRDefault="001E01DF" w:rsidP="00EB372E">
      <w:pPr>
        <w:pStyle w:val="ListParagraph"/>
        <w:jc w:val="both"/>
        <w:rPr>
          <w:b/>
          <w:bCs/>
          <w:color w:val="00B050"/>
        </w:rPr>
      </w:pPr>
    </w:p>
    <w:p w14:paraId="7526887D" w14:textId="5483A163" w:rsidR="00474BF7" w:rsidRPr="00474BF7" w:rsidRDefault="00474BF7" w:rsidP="009D08FD">
      <w:pPr>
        <w:pStyle w:val="ListParagraph"/>
        <w:numPr>
          <w:ilvl w:val="0"/>
          <w:numId w:val="9"/>
        </w:numPr>
        <w:rPr>
          <w:b/>
          <w:bCs/>
          <w:color w:val="00B050"/>
        </w:rPr>
      </w:pPr>
      <w:r w:rsidRPr="00474BF7">
        <w:rPr>
          <w:b/>
          <w:bCs/>
          <w:color w:val="00B050"/>
        </w:rPr>
        <w:t xml:space="preserve"> </w:t>
      </w:r>
      <w:r w:rsidRPr="00E24753">
        <w:rPr>
          <w:b/>
          <w:bCs/>
          <w:color w:val="006600"/>
        </w:rPr>
        <w:t>Greenhouse Gas Emission Reporting Regulations, 2017 Amendments</w:t>
      </w:r>
    </w:p>
    <w:p w14:paraId="7E8985D9" w14:textId="737367E2" w:rsidR="001E01DF" w:rsidRPr="00E24753" w:rsidRDefault="001E01DF" w:rsidP="00E24753">
      <w:pPr>
        <w:pStyle w:val="ListParagraph"/>
        <w:ind w:firstLine="0"/>
        <w:jc w:val="both"/>
        <w:rPr>
          <w:b/>
          <w:bCs/>
          <w:color w:val="00B050"/>
        </w:rPr>
      </w:pPr>
    </w:p>
    <w:p w14:paraId="4AED2E34" w14:textId="7CFA0875" w:rsidR="001E01DF" w:rsidRPr="00E24753" w:rsidRDefault="001E01DF" w:rsidP="00E24753">
      <w:pPr>
        <w:pStyle w:val="ListParagraph"/>
        <w:jc w:val="both"/>
        <w:rPr>
          <w:bCs/>
          <w:color w:val="D2580A"/>
          <w:u w:val="single"/>
        </w:rPr>
      </w:pPr>
      <w:r w:rsidRPr="00E24753">
        <w:rPr>
          <w:bCs/>
          <w:color w:val="D2580A"/>
          <w:u w:val="single"/>
        </w:rPr>
        <w:t>https://www.environment.gov.za/sites/default/files/legislations/nemaqa_greenhousegasemissions_reportingregulationamendment_g43712gon994.pdf</w:t>
      </w:r>
    </w:p>
    <w:p w14:paraId="3592DFD9" w14:textId="77777777" w:rsidR="00EB372E" w:rsidRDefault="00EB372E" w:rsidP="00EB372E">
      <w:pPr>
        <w:pStyle w:val="ListParagraph"/>
        <w:jc w:val="both"/>
        <w:rPr>
          <w:b/>
          <w:bCs/>
          <w:color w:val="00B050"/>
        </w:rPr>
      </w:pPr>
    </w:p>
    <w:p w14:paraId="5EA263B1" w14:textId="77777777" w:rsidR="00EB372E" w:rsidRPr="00EB372E" w:rsidRDefault="00EB372E" w:rsidP="009D08FD">
      <w:pPr>
        <w:pStyle w:val="ListParagraph"/>
        <w:numPr>
          <w:ilvl w:val="0"/>
          <w:numId w:val="9"/>
        </w:numPr>
        <w:spacing w:line="259" w:lineRule="auto"/>
        <w:jc w:val="both"/>
        <w:rPr>
          <w:b/>
          <w:bCs/>
          <w:color w:val="006600"/>
        </w:rPr>
      </w:pPr>
      <w:r w:rsidRPr="00EB372E">
        <w:rPr>
          <w:b/>
          <w:bCs/>
          <w:color w:val="006600"/>
        </w:rPr>
        <w:t>Technical Guidelines</w:t>
      </w:r>
    </w:p>
    <w:p w14:paraId="51216097" w14:textId="1DF96DF8" w:rsidR="00EB372E" w:rsidRPr="00971B95" w:rsidRDefault="00161F7F" w:rsidP="00971B95">
      <w:pPr>
        <w:pStyle w:val="ListParagraph"/>
        <w:jc w:val="both"/>
        <w:rPr>
          <w:b/>
          <w:bCs/>
          <w:color w:val="00B050"/>
        </w:rPr>
      </w:pPr>
      <w:hyperlink r:id="rId27" w:history="1">
        <w:r w:rsidR="00EB372E" w:rsidRPr="004C7172">
          <w:rPr>
            <w:rStyle w:val="Hyperlink"/>
          </w:rPr>
          <w:t>https://www.environment.gov.za/sites/default/files/legislations/technicalguidelinesformrvofemissionsbyindustry_0.pdf</w:t>
        </w:r>
      </w:hyperlink>
      <w:r w:rsidR="00EB372E">
        <w:rPr>
          <w:b/>
          <w:bCs/>
          <w:color w:val="00B050"/>
        </w:rPr>
        <w:t xml:space="preserve"> </w:t>
      </w:r>
    </w:p>
    <w:p w14:paraId="47124ED7" w14:textId="17797A12" w:rsidR="00F700DD" w:rsidRPr="00CE6662" w:rsidRDefault="001756FD" w:rsidP="00E24753">
      <w:pPr>
        <w:pStyle w:val="Heading2"/>
      </w:pPr>
      <w:r>
        <w:t xml:space="preserve"> </w:t>
      </w:r>
      <w:bookmarkStart w:id="46" w:name="_Toc95209838"/>
      <w:bookmarkStart w:id="47" w:name="_Toc109812385"/>
      <w:r w:rsidR="00A64068" w:rsidRPr="00CE6662">
        <w:t xml:space="preserve">I have selected an incorrect account </w:t>
      </w:r>
      <w:r w:rsidR="0017277B" w:rsidRPr="00CE6662">
        <w:t>type;</w:t>
      </w:r>
      <w:r w:rsidR="00F700DD" w:rsidRPr="00CE6662">
        <w:t xml:space="preserve"> </w:t>
      </w:r>
      <w:r w:rsidR="0076192E" w:rsidRPr="00CE6662">
        <w:t>h</w:t>
      </w:r>
      <w:r w:rsidR="00F700DD" w:rsidRPr="00CE6662">
        <w:t>ow</w:t>
      </w:r>
      <w:r w:rsidR="00A64068" w:rsidRPr="00CE6662">
        <w:t xml:space="preserve"> do I change the account type?</w:t>
      </w:r>
      <w:bookmarkEnd w:id="46"/>
      <w:bookmarkEnd w:id="47"/>
    </w:p>
    <w:p w14:paraId="2F2533EA" w14:textId="28D8071C" w:rsidR="00A64068" w:rsidRDefault="0076192E" w:rsidP="005A4D4A">
      <w:pPr>
        <w:jc w:val="both"/>
      </w:pPr>
      <w:r>
        <w:t xml:space="preserve">The </w:t>
      </w:r>
      <w:r w:rsidR="00A64068" w:rsidRPr="00A64068">
        <w:t xml:space="preserve">SAGERS </w:t>
      </w:r>
      <w:r w:rsidR="00F50AC3">
        <w:t>Portal</w:t>
      </w:r>
      <w:r w:rsidR="00A64068" w:rsidRPr="00A64068">
        <w:t xml:space="preserve"> does not allow user</w:t>
      </w:r>
      <w:r>
        <w:t>s</w:t>
      </w:r>
      <w:r w:rsidR="00A64068" w:rsidRPr="00A64068">
        <w:t xml:space="preserve"> to change the</w:t>
      </w:r>
      <w:r w:rsidR="00A750DF">
        <w:t>ir</w:t>
      </w:r>
      <w:r w:rsidR="00A64068" w:rsidRPr="00A64068">
        <w:t xml:space="preserve"> account type because of data integrity. Many permission setting</w:t>
      </w:r>
      <w:r>
        <w:t>s</w:t>
      </w:r>
      <w:r w:rsidR="00A64068" w:rsidRPr="00A64068">
        <w:t xml:space="preserve"> </w:t>
      </w:r>
      <w:r>
        <w:t>are</w:t>
      </w:r>
      <w:r w:rsidRPr="00A64068">
        <w:t xml:space="preserve"> buil</w:t>
      </w:r>
      <w:r>
        <w:t>t</w:t>
      </w:r>
      <w:r w:rsidRPr="00A64068">
        <w:t xml:space="preserve"> </w:t>
      </w:r>
      <w:r w:rsidR="00A64068" w:rsidRPr="00A64068">
        <w:t xml:space="preserve">based on </w:t>
      </w:r>
      <w:r w:rsidR="008B1BF7">
        <w:t>a specific</w:t>
      </w:r>
      <w:r w:rsidR="00A64068" w:rsidRPr="00A64068">
        <w:t xml:space="preserve"> account type.</w:t>
      </w:r>
      <w:r w:rsidR="008B1BF7">
        <w:t xml:space="preserve"> Therefore, a </w:t>
      </w:r>
      <w:r w:rsidR="00A64068" w:rsidRPr="00A64068">
        <w:t>public user need</w:t>
      </w:r>
      <w:r>
        <w:t>s</w:t>
      </w:r>
      <w:r w:rsidR="00A64068" w:rsidRPr="00A64068">
        <w:t xml:space="preserve"> to register a new account in the SAGERS </w:t>
      </w:r>
      <w:r w:rsidR="00F50AC3">
        <w:t>Portal</w:t>
      </w:r>
      <w:r w:rsidR="00A64068" w:rsidRPr="00A64068">
        <w:t xml:space="preserve"> using</w:t>
      </w:r>
      <w:r w:rsidR="00F700DD">
        <w:t xml:space="preserve"> the correct</w:t>
      </w:r>
      <w:r w:rsidR="00A64068" w:rsidRPr="00A64068">
        <w:t xml:space="preserve"> account type</w:t>
      </w:r>
      <w:r w:rsidR="00F700DD">
        <w:t>.</w:t>
      </w:r>
    </w:p>
    <w:p w14:paraId="1D140733" w14:textId="0EAE6B3B" w:rsidR="00A64068" w:rsidRPr="00A64068" w:rsidRDefault="00F700DD" w:rsidP="00BE50FF">
      <w:pPr>
        <w:jc w:val="both"/>
      </w:pPr>
      <w:r>
        <w:t xml:space="preserve">Please contact to us on </w:t>
      </w:r>
      <w:hyperlink r:id="rId28" w:history="1">
        <w:r w:rsidRPr="006D2A13">
          <w:rPr>
            <w:rStyle w:val="Hyperlink"/>
          </w:rPr>
          <w:t>ghgreporting@environment.gov.za</w:t>
        </w:r>
      </w:hyperlink>
      <w:r>
        <w:t xml:space="preserve"> in order to deactivate your </w:t>
      </w:r>
      <w:r w:rsidR="0076192E">
        <w:t xml:space="preserve">current </w:t>
      </w:r>
      <w:r>
        <w:t xml:space="preserve">account </w:t>
      </w:r>
      <w:r w:rsidR="00D07BED">
        <w:t>before you</w:t>
      </w:r>
      <w:r>
        <w:t xml:space="preserve"> re-register.</w:t>
      </w:r>
    </w:p>
    <w:p w14:paraId="510E84E0" w14:textId="34D19003" w:rsidR="00645E21" w:rsidRPr="00CE6662" w:rsidRDefault="001756FD" w:rsidP="00E24753">
      <w:pPr>
        <w:pStyle w:val="Heading2"/>
      </w:pPr>
      <w:bookmarkStart w:id="48" w:name="_Toc53659802"/>
      <w:bookmarkStart w:id="49" w:name="_Toc55195643"/>
      <w:bookmarkStart w:id="50" w:name="_Toc55221206"/>
      <w:bookmarkStart w:id="51" w:name="_Toc55222178"/>
      <w:bookmarkStart w:id="52" w:name="_Toc55817214"/>
      <w:bookmarkStart w:id="53" w:name="_Toc55896574"/>
      <w:bookmarkStart w:id="54" w:name="_Toc55195644"/>
      <w:bookmarkStart w:id="55" w:name="_Toc55221207"/>
      <w:bookmarkStart w:id="56" w:name="_Toc55222179"/>
      <w:bookmarkStart w:id="57" w:name="_Toc55817215"/>
      <w:bookmarkStart w:id="58" w:name="_Toc55896575"/>
      <w:bookmarkStart w:id="59" w:name="_Toc55195645"/>
      <w:bookmarkStart w:id="60" w:name="_Toc55221208"/>
      <w:bookmarkStart w:id="61" w:name="_Toc55222180"/>
      <w:bookmarkStart w:id="62" w:name="_Toc55817216"/>
      <w:bookmarkStart w:id="63" w:name="_Toc55896576"/>
      <w:bookmarkStart w:id="64" w:name="_Toc55195646"/>
      <w:bookmarkStart w:id="65" w:name="_Toc55221209"/>
      <w:bookmarkStart w:id="66" w:name="_Toc55222181"/>
      <w:bookmarkStart w:id="67" w:name="_Toc55817217"/>
      <w:bookmarkStart w:id="68" w:name="_Toc5589657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t xml:space="preserve"> </w:t>
      </w:r>
      <w:bookmarkStart w:id="69" w:name="_Toc95209839"/>
      <w:bookmarkStart w:id="70" w:name="_Toc109812386"/>
      <w:r w:rsidR="00645E21" w:rsidRPr="00CE6662">
        <w:t xml:space="preserve">Can I link my SAAELIP account with </w:t>
      </w:r>
      <w:r w:rsidR="0076192E" w:rsidRPr="00CE6662">
        <w:t xml:space="preserve">my </w:t>
      </w:r>
      <w:r w:rsidR="00645E21" w:rsidRPr="00CE6662">
        <w:t>SAGERS account?</w:t>
      </w:r>
      <w:bookmarkEnd w:id="69"/>
      <w:bookmarkEnd w:id="70"/>
    </w:p>
    <w:p w14:paraId="367F94B9" w14:textId="4278673F" w:rsidR="0076192E" w:rsidRDefault="3FF7A729" w:rsidP="00BE50FF">
      <w:pPr>
        <w:jc w:val="both"/>
      </w:pPr>
      <w:r>
        <w:t>The South African Atmospheric Emission Licensing and Inventory Portal (</w:t>
      </w:r>
      <w:r w:rsidR="51E1999D">
        <w:t>SAAELIP</w:t>
      </w:r>
      <w:r>
        <w:t>)</w:t>
      </w:r>
      <w:r w:rsidR="51E1999D">
        <w:t xml:space="preserve"> and SAGERS cannot be linked as they are setup to achieve two separate regulations </w:t>
      </w:r>
      <w:r w:rsidR="000246CA">
        <w:t>t</w:t>
      </w:r>
      <w:r w:rsidR="00785C5D" w:rsidRPr="00785C5D">
        <w:t>hat have not been harmonized</w:t>
      </w:r>
      <w:r w:rsidR="51E1999D">
        <w:t xml:space="preserve"> currently, therefore data providers are required to register separately under SAGERS. </w:t>
      </w:r>
    </w:p>
    <w:p w14:paraId="635E0C6E" w14:textId="3413FC32" w:rsidR="002609B8" w:rsidRPr="00CE6662" w:rsidRDefault="002609B8" w:rsidP="00E24753">
      <w:pPr>
        <w:pStyle w:val="Heading2"/>
      </w:pPr>
      <w:bookmarkStart w:id="71" w:name="_Toc95209840"/>
      <w:bookmarkStart w:id="72" w:name="_Toc109812387"/>
      <w:r w:rsidRPr="00CE6662">
        <w:t>I registered for GHG reporting manually before December 2019 and have a Data Provider ID, how do I migrate to SAGERS?</w:t>
      </w:r>
      <w:bookmarkEnd w:id="71"/>
      <w:bookmarkEnd w:id="72"/>
      <w:r w:rsidRPr="00CE6662">
        <w:t xml:space="preserve"> </w:t>
      </w:r>
    </w:p>
    <w:p w14:paraId="2A0FB5B3" w14:textId="48718B5B" w:rsidR="002609B8" w:rsidRPr="00C6660B" w:rsidRDefault="002609B8" w:rsidP="00142A39">
      <w:pPr>
        <w:jc w:val="both"/>
      </w:pPr>
      <w:r>
        <w:t xml:space="preserve">Data providers that </w:t>
      </w:r>
      <w:r w:rsidR="00142A39">
        <w:t>had</w:t>
      </w:r>
      <w:r>
        <w:t xml:space="preserve"> registered manually using </w:t>
      </w:r>
      <w:r w:rsidR="00142A39">
        <w:t xml:space="preserve">the </w:t>
      </w:r>
      <w:r>
        <w:t>Annexure 2</w:t>
      </w:r>
      <w:r w:rsidR="00142A39">
        <w:t xml:space="preserve"> form</w:t>
      </w:r>
      <w:r>
        <w:t xml:space="preserve">, can use a transfer code provided by the </w:t>
      </w:r>
      <w:r w:rsidR="00734BF6" w:rsidRPr="00734BF6">
        <w:t>Department of Forestry, Fisheries and the Environment </w:t>
      </w:r>
      <w:r w:rsidR="000246CA">
        <w:t>(DFFE)</w:t>
      </w:r>
      <w:r>
        <w:t xml:space="preserve"> to transfer their registration information on the SAGERS.</w:t>
      </w:r>
    </w:p>
    <w:p w14:paraId="37BA506C" w14:textId="2AD231C6" w:rsidR="002609B8" w:rsidRPr="00C6660B" w:rsidRDefault="00391A35" w:rsidP="00142A39">
      <w:pPr>
        <w:jc w:val="both"/>
        <w:rPr>
          <w:szCs w:val="24"/>
        </w:rPr>
      </w:pPr>
      <w:r>
        <w:rPr>
          <w:szCs w:val="24"/>
        </w:rPr>
        <w:t>DFFE</w:t>
      </w:r>
      <w:r w:rsidR="002609B8" w:rsidRPr="00C6660B">
        <w:rPr>
          <w:szCs w:val="24"/>
        </w:rPr>
        <w:t xml:space="preserve"> has provided transfer codes to those existing data providers to update their information. It must be noted that IPCC activities must be updated as this information is missing on the information transferred in the SAGERS</w:t>
      </w:r>
      <w:r w:rsidR="002609B8">
        <w:rPr>
          <w:szCs w:val="24"/>
        </w:rPr>
        <w:t xml:space="preserve">. </w:t>
      </w:r>
    </w:p>
    <w:p w14:paraId="3EDB2726" w14:textId="170A9896" w:rsidR="00645E21" w:rsidRPr="00B42DC4" w:rsidRDefault="002609B8" w:rsidP="00B42DC4">
      <w:pPr>
        <w:jc w:val="both"/>
        <w:rPr>
          <w:szCs w:val="24"/>
        </w:rPr>
      </w:pPr>
      <w:r>
        <w:rPr>
          <w:szCs w:val="24"/>
        </w:rPr>
        <w:t>If your company did not receive a transfer code</w:t>
      </w:r>
      <w:r w:rsidR="00391A35">
        <w:rPr>
          <w:szCs w:val="24"/>
        </w:rPr>
        <w:t xml:space="preserve"> from DFFE</w:t>
      </w:r>
      <w:r>
        <w:rPr>
          <w:szCs w:val="24"/>
        </w:rPr>
        <w:t xml:space="preserve">, please send an email to </w:t>
      </w:r>
      <w:hyperlink r:id="rId29" w:history="1">
        <w:r w:rsidR="00303AFB" w:rsidRPr="00F30C85">
          <w:rPr>
            <w:rStyle w:val="Hyperlink"/>
            <w:szCs w:val="24"/>
          </w:rPr>
          <w:t>ghgreporting@dffe.gov.za</w:t>
        </w:r>
      </w:hyperlink>
      <w:r>
        <w:rPr>
          <w:szCs w:val="24"/>
        </w:rPr>
        <w:t xml:space="preserve"> t</w:t>
      </w:r>
      <w:r w:rsidRPr="00495090">
        <w:rPr>
          <w:szCs w:val="24"/>
        </w:rPr>
        <w:t xml:space="preserve">o </w:t>
      </w:r>
      <w:r>
        <w:rPr>
          <w:szCs w:val="24"/>
        </w:rPr>
        <w:t xml:space="preserve">request your transfer code by providing the name of your company and your data provider ID. </w:t>
      </w:r>
    </w:p>
    <w:p w14:paraId="6F91C9ED" w14:textId="5D904806" w:rsidR="00495090" w:rsidRPr="00F34FD6" w:rsidRDefault="001756FD" w:rsidP="00E24753">
      <w:pPr>
        <w:pStyle w:val="Heading2"/>
      </w:pPr>
      <w:r>
        <w:t xml:space="preserve"> </w:t>
      </w:r>
      <w:bookmarkStart w:id="73" w:name="_Toc95209841"/>
      <w:bookmarkStart w:id="74" w:name="_Toc109812388"/>
      <w:r w:rsidR="003D5FF7" w:rsidRPr="00F34FD6">
        <w:t xml:space="preserve">I have standby </w:t>
      </w:r>
      <w:r w:rsidR="006F6357" w:rsidRPr="00F34FD6">
        <w:t>generators;</w:t>
      </w:r>
      <w:r w:rsidR="003D5FF7" w:rsidRPr="00F34FD6">
        <w:t xml:space="preserve"> </w:t>
      </w:r>
      <w:r w:rsidR="006F6357" w:rsidRPr="00F34FD6">
        <w:t>how d</w:t>
      </w:r>
      <w:r w:rsidR="00E32670" w:rsidRPr="00F34FD6">
        <w:t>o I register them in the system?</w:t>
      </w:r>
      <w:bookmarkEnd w:id="73"/>
      <w:bookmarkEnd w:id="74"/>
      <w:r w:rsidR="00E32670" w:rsidRPr="00F34FD6">
        <w:t xml:space="preserve"> </w:t>
      </w:r>
    </w:p>
    <w:p w14:paraId="46FC75AB" w14:textId="66A5F048" w:rsidR="00E32670" w:rsidRDefault="00E32670" w:rsidP="00162F75">
      <w:pPr>
        <w:jc w:val="both"/>
        <w:rPr>
          <w:szCs w:val="24"/>
        </w:rPr>
      </w:pPr>
      <w:r>
        <w:rPr>
          <w:szCs w:val="24"/>
        </w:rPr>
        <w:t xml:space="preserve">Standby generators can be reported as </w:t>
      </w:r>
      <w:r w:rsidR="00D20A02" w:rsidRPr="0053430C">
        <w:rPr>
          <w:szCs w:val="24"/>
        </w:rPr>
        <w:t>one</w:t>
      </w:r>
      <w:r w:rsidR="00162F75" w:rsidRPr="0053430C">
        <w:rPr>
          <w:szCs w:val="24"/>
        </w:rPr>
        <w:t xml:space="preserve"> (1)</w:t>
      </w:r>
      <w:r w:rsidR="00D20A02" w:rsidRPr="0053430C">
        <w:rPr>
          <w:szCs w:val="24"/>
        </w:rPr>
        <w:t xml:space="preserve"> aggregated facility </w:t>
      </w:r>
      <w:r w:rsidR="006F6357" w:rsidRPr="0053430C">
        <w:rPr>
          <w:szCs w:val="24"/>
        </w:rPr>
        <w:t xml:space="preserve">group </w:t>
      </w:r>
      <w:r w:rsidRPr="0053430C">
        <w:rPr>
          <w:szCs w:val="24"/>
        </w:rPr>
        <w:t>if they ar</w:t>
      </w:r>
      <w:r w:rsidR="006F6357" w:rsidRPr="0053430C">
        <w:rPr>
          <w:szCs w:val="24"/>
        </w:rPr>
        <w:t xml:space="preserve">e used under </w:t>
      </w:r>
      <w:r w:rsidR="00162F75">
        <w:rPr>
          <w:szCs w:val="24"/>
        </w:rPr>
        <w:t>one (</w:t>
      </w:r>
      <w:r w:rsidR="006F6357">
        <w:rPr>
          <w:szCs w:val="24"/>
        </w:rPr>
        <w:t>1</w:t>
      </w:r>
      <w:r w:rsidR="00162F75">
        <w:rPr>
          <w:szCs w:val="24"/>
        </w:rPr>
        <w:t>)</w:t>
      </w:r>
      <w:r w:rsidR="006F6357">
        <w:rPr>
          <w:szCs w:val="24"/>
        </w:rPr>
        <w:t xml:space="preserve"> IPCC code. Each Standby </w:t>
      </w:r>
      <w:r w:rsidR="006D742C">
        <w:rPr>
          <w:szCs w:val="24"/>
        </w:rPr>
        <w:t>Generator</w:t>
      </w:r>
      <w:r>
        <w:rPr>
          <w:szCs w:val="24"/>
        </w:rPr>
        <w:t xml:space="preserve"> </w:t>
      </w:r>
      <w:r w:rsidR="006D742C">
        <w:rPr>
          <w:szCs w:val="24"/>
        </w:rPr>
        <w:t xml:space="preserve">group </w:t>
      </w:r>
      <w:r>
        <w:rPr>
          <w:szCs w:val="24"/>
        </w:rPr>
        <w:t>must be linked to the</w:t>
      </w:r>
      <w:r w:rsidR="003A683C">
        <w:rPr>
          <w:szCs w:val="24"/>
        </w:rPr>
        <w:t xml:space="preserve"> relevant</w:t>
      </w:r>
      <w:r>
        <w:rPr>
          <w:szCs w:val="24"/>
        </w:rPr>
        <w:t xml:space="preserve"> IPCC</w:t>
      </w:r>
      <w:r w:rsidR="00495090">
        <w:rPr>
          <w:szCs w:val="24"/>
        </w:rPr>
        <w:t xml:space="preserve"> activity</w:t>
      </w:r>
      <w:r>
        <w:rPr>
          <w:szCs w:val="24"/>
        </w:rPr>
        <w:t xml:space="preserve">. </w:t>
      </w:r>
    </w:p>
    <w:p w14:paraId="5E3B029A" w14:textId="787D9A83" w:rsidR="0076192E" w:rsidRDefault="00E32670" w:rsidP="00162F75">
      <w:pPr>
        <w:pStyle w:val="CommentText"/>
        <w:spacing w:line="276" w:lineRule="auto"/>
        <w:jc w:val="both"/>
        <w:rPr>
          <w:sz w:val="24"/>
          <w:szCs w:val="24"/>
        </w:rPr>
      </w:pPr>
      <w:r w:rsidRPr="006D742C">
        <w:rPr>
          <w:sz w:val="24"/>
          <w:szCs w:val="24"/>
        </w:rPr>
        <w:t xml:space="preserve">For example, if you have generators that are used to generate electricity for </w:t>
      </w:r>
      <w:r w:rsidRPr="006D742C">
        <w:rPr>
          <w:b/>
          <w:i/>
          <w:sz w:val="24"/>
          <w:szCs w:val="24"/>
        </w:rPr>
        <w:t>lighting</w:t>
      </w:r>
      <w:r w:rsidRPr="006D742C">
        <w:rPr>
          <w:sz w:val="24"/>
          <w:szCs w:val="24"/>
        </w:rPr>
        <w:t xml:space="preserve"> and </w:t>
      </w:r>
      <w:r w:rsidRPr="006D742C">
        <w:rPr>
          <w:b/>
          <w:i/>
          <w:sz w:val="24"/>
          <w:szCs w:val="24"/>
        </w:rPr>
        <w:t>general office use</w:t>
      </w:r>
      <w:r w:rsidRPr="006D742C">
        <w:rPr>
          <w:sz w:val="24"/>
          <w:szCs w:val="24"/>
        </w:rPr>
        <w:t xml:space="preserve"> during load shedding periods or when you don’t have electricity for any particular reason, you will need to report all those generators under </w:t>
      </w:r>
      <w:r w:rsidR="00BA61F9">
        <w:rPr>
          <w:sz w:val="24"/>
          <w:szCs w:val="24"/>
        </w:rPr>
        <w:t>one (</w:t>
      </w:r>
      <w:r w:rsidRPr="006D742C">
        <w:rPr>
          <w:sz w:val="24"/>
          <w:szCs w:val="24"/>
        </w:rPr>
        <w:t>1</w:t>
      </w:r>
      <w:r w:rsidR="00BA61F9">
        <w:rPr>
          <w:sz w:val="24"/>
          <w:szCs w:val="24"/>
        </w:rPr>
        <w:t>)</w:t>
      </w:r>
      <w:r w:rsidRPr="006D742C">
        <w:rPr>
          <w:sz w:val="24"/>
          <w:szCs w:val="24"/>
        </w:rPr>
        <w:t xml:space="preserve"> facility</w:t>
      </w:r>
      <w:r w:rsidR="006D742C">
        <w:rPr>
          <w:sz w:val="24"/>
          <w:szCs w:val="24"/>
        </w:rPr>
        <w:t xml:space="preserve"> using </w:t>
      </w:r>
      <w:r w:rsidR="00BF1FBE">
        <w:rPr>
          <w:sz w:val="24"/>
          <w:szCs w:val="24"/>
        </w:rPr>
        <w:t>the relevant IPCC code.</w:t>
      </w:r>
      <w:r w:rsidR="006D742C">
        <w:rPr>
          <w:sz w:val="24"/>
          <w:szCs w:val="24"/>
        </w:rPr>
        <w:t xml:space="preserve"> </w:t>
      </w:r>
      <w:r w:rsidR="00BF1FBE">
        <w:rPr>
          <w:sz w:val="24"/>
          <w:szCs w:val="24"/>
        </w:rPr>
        <w:t>That is, if</w:t>
      </w:r>
      <w:r w:rsidR="006D742C" w:rsidRPr="006D742C">
        <w:rPr>
          <w:sz w:val="24"/>
          <w:szCs w:val="24"/>
        </w:rPr>
        <w:t xml:space="preserve"> the generator is used in food processing</w:t>
      </w:r>
      <w:r w:rsidR="00BF1FBE">
        <w:rPr>
          <w:sz w:val="24"/>
          <w:szCs w:val="24"/>
        </w:rPr>
        <w:t xml:space="preserve"> industry</w:t>
      </w:r>
      <w:r w:rsidR="006D742C" w:rsidRPr="006D742C">
        <w:rPr>
          <w:sz w:val="24"/>
          <w:szCs w:val="24"/>
        </w:rPr>
        <w:t xml:space="preserve"> the </w:t>
      </w:r>
      <w:r w:rsidR="006D742C">
        <w:rPr>
          <w:sz w:val="24"/>
          <w:szCs w:val="24"/>
        </w:rPr>
        <w:t xml:space="preserve">IPCC </w:t>
      </w:r>
      <w:r w:rsidR="00BA61F9">
        <w:rPr>
          <w:sz w:val="24"/>
          <w:szCs w:val="24"/>
        </w:rPr>
        <w:t>code that needs to be used is,</w:t>
      </w:r>
      <w:r w:rsidR="006D742C" w:rsidRPr="006D742C">
        <w:rPr>
          <w:sz w:val="24"/>
          <w:szCs w:val="24"/>
        </w:rPr>
        <w:t xml:space="preserve"> </w:t>
      </w:r>
      <w:r w:rsidR="006D742C">
        <w:rPr>
          <w:sz w:val="24"/>
          <w:szCs w:val="24"/>
        </w:rPr>
        <w:t>1A2e</w:t>
      </w:r>
      <w:r w:rsidR="006D742C" w:rsidRPr="006D742C">
        <w:rPr>
          <w:sz w:val="24"/>
          <w:szCs w:val="24"/>
        </w:rPr>
        <w:t>: Food Processing, Beverages and Tobacco</w:t>
      </w:r>
      <w:r w:rsidR="006D742C">
        <w:rPr>
          <w:sz w:val="24"/>
          <w:szCs w:val="24"/>
        </w:rPr>
        <w:t xml:space="preserve">. </w:t>
      </w:r>
      <w:r w:rsidR="00495090" w:rsidRPr="006D742C">
        <w:rPr>
          <w:sz w:val="24"/>
          <w:szCs w:val="24"/>
        </w:rPr>
        <w:t xml:space="preserve">The capacity of the aggregated facility </w:t>
      </w:r>
      <w:r w:rsidR="0076192E" w:rsidRPr="006D742C">
        <w:rPr>
          <w:sz w:val="24"/>
          <w:szCs w:val="24"/>
        </w:rPr>
        <w:t>wi</w:t>
      </w:r>
      <w:r w:rsidR="0076192E">
        <w:rPr>
          <w:sz w:val="24"/>
          <w:szCs w:val="24"/>
        </w:rPr>
        <w:t>ll</w:t>
      </w:r>
      <w:r w:rsidR="0076192E" w:rsidRPr="006D742C">
        <w:rPr>
          <w:sz w:val="24"/>
          <w:szCs w:val="24"/>
        </w:rPr>
        <w:t xml:space="preserve"> </w:t>
      </w:r>
      <w:r w:rsidR="00495090" w:rsidRPr="006D742C">
        <w:rPr>
          <w:sz w:val="24"/>
          <w:szCs w:val="24"/>
        </w:rPr>
        <w:t xml:space="preserve">be </w:t>
      </w:r>
      <w:r w:rsidRPr="006D742C">
        <w:rPr>
          <w:sz w:val="24"/>
          <w:szCs w:val="24"/>
        </w:rPr>
        <w:t xml:space="preserve">the total capacity of the individual generators. </w:t>
      </w:r>
    </w:p>
    <w:p w14:paraId="18DFB3DA" w14:textId="7AC1C5C2" w:rsidR="0076192E" w:rsidRDefault="00495090" w:rsidP="00162F75">
      <w:pPr>
        <w:pStyle w:val="CommentText"/>
        <w:spacing w:line="276" w:lineRule="auto"/>
        <w:jc w:val="both"/>
        <w:rPr>
          <w:sz w:val="24"/>
          <w:szCs w:val="24"/>
        </w:rPr>
      </w:pPr>
      <w:r w:rsidRPr="006D742C">
        <w:rPr>
          <w:sz w:val="24"/>
          <w:szCs w:val="24"/>
        </w:rPr>
        <w:t xml:space="preserve">Additional to this entry in SAGERS, data providers </w:t>
      </w:r>
      <w:r w:rsidR="0076192E">
        <w:rPr>
          <w:sz w:val="24"/>
          <w:szCs w:val="24"/>
        </w:rPr>
        <w:t xml:space="preserve">are required to </w:t>
      </w:r>
      <w:r w:rsidR="00645E21">
        <w:rPr>
          <w:sz w:val="24"/>
          <w:szCs w:val="24"/>
        </w:rPr>
        <w:t xml:space="preserve">fill in and attach the </w:t>
      </w:r>
      <w:r w:rsidR="000F225D">
        <w:rPr>
          <w:sz w:val="24"/>
          <w:szCs w:val="24"/>
        </w:rPr>
        <w:t xml:space="preserve">stand-by generator </w:t>
      </w:r>
      <w:r w:rsidR="00E32670" w:rsidRPr="006D742C">
        <w:rPr>
          <w:sz w:val="24"/>
          <w:szCs w:val="24"/>
        </w:rPr>
        <w:t>inventory sheet</w:t>
      </w:r>
      <w:r w:rsidR="000F225D">
        <w:rPr>
          <w:sz w:val="24"/>
          <w:szCs w:val="24"/>
        </w:rPr>
        <w:t xml:space="preserve"> </w:t>
      </w:r>
      <w:r w:rsidR="00645E21" w:rsidRPr="006D742C">
        <w:rPr>
          <w:sz w:val="24"/>
          <w:szCs w:val="24"/>
        </w:rPr>
        <w:t>found under SAGERS Resources under Guidelines</w:t>
      </w:r>
      <w:r w:rsidR="00BF1FBE">
        <w:rPr>
          <w:sz w:val="24"/>
          <w:szCs w:val="24"/>
        </w:rPr>
        <w:t xml:space="preserve"> on the landing page</w:t>
      </w:r>
      <w:r w:rsidR="00645E21">
        <w:rPr>
          <w:sz w:val="24"/>
          <w:szCs w:val="24"/>
        </w:rPr>
        <w:t>.</w:t>
      </w:r>
      <w:r w:rsidR="0076192E">
        <w:rPr>
          <w:sz w:val="24"/>
          <w:szCs w:val="24"/>
        </w:rPr>
        <w:t xml:space="preserve"> The inventory sheet should include all stand-by generators used by the data provider.</w:t>
      </w:r>
      <w:r w:rsidR="00BF1FBE">
        <w:rPr>
          <w:sz w:val="24"/>
          <w:szCs w:val="24"/>
        </w:rPr>
        <w:t xml:space="preserve"> Please follow the link below to the landing page:</w:t>
      </w:r>
    </w:p>
    <w:p w14:paraId="159D32BD" w14:textId="540250A2" w:rsidR="00C220F4" w:rsidRDefault="00161F7F" w:rsidP="003117C5">
      <w:pPr>
        <w:pStyle w:val="CommentText"/>
        <w:spacing w:line="276" w:lineRule="auto"/>
        <w:jc w:val="both"/>
        <w:rPr>
          <w:rStyle w:val="Hyperlink"/>
          <w:sz w:val="24"/>
        </w:rPr>
      </w:pPr>
      <w:hyperlink r:id="rId30" w:history="1">
        <w:r w:rsidR="00C220F4" w:rsidRPr="001F4509">
          <w:rPr>
            <w:rStyle w:val="Hyperlink"/>
            <w:sz w:val="24"/>
          </w:rPr>
          <w:t>https://ghgreporting-public.environment.gov.za/GHGLanding/Docs/Standby%20generators.xlsx</w:t>
        </w:r>
      </w:hyperlink>
      <w:r w:rsidR="00C220F4">
        <w:rPr>
          <w:rStyle w:val="Hyperlink"/>
          <w:sz w:val="24"/>
        </w:rPr>
        <w:t xml:space="preserve"> </w:t>
      </w:r>
    </w:p>
    <w:p w14:paraId="5311DAFA" w14:textId="3EB11D77" w:rsidR="00B50902" w:rsidRPr="000F7DA4" w:rsidRDefault="00B50902" w:rsidP="00B50902">
      <w:pPr>
        <w:pStyle w:val="Heading2"/>
        <w:spacing w:line="276" w:lineRule="auto"/>
        <w:jc w:val="both"/>
      </w:pPr>
      <w:bookmarkStart w:id="75" w:name="_Toc95209842"/>
      <w:bookmarkStart w:id="76" w:name="_Toc109812389"/>
      <w:r w:rsidRPr="000F7DA4">
        <w:t>I have declared all my boilers and the system requires me to attach a document, what do I attach?</w:t>
      </w:r>
      <w:bookmarkEnd w:id="75"/>
      <w:bookmarkEnd w:id="76"/>
      <w:r w:rsidRPr="000F7DA4">
        <w:t xml:space="preserve"> </w:t>
      </w:r>
    </w:p>
    <w:p w14:paraId="163F16BC" w14:textId="20DB8CFE" w:rsidR="000F7DA4" w:rsidRPr="000F7DA4" w:rsidRDefault="00B50902" w:rsidP="00B50902">
      <w:r w:rsidRPr="000F7DA4">
        <w:t xml:space="preserve">If you register </w:t>
      </w:r>
      <w:r w:rsidR="0010125D" w:rsidRPr="000F7DA4">
        <w:t>more than 1 boiler in SAGER</w:t>
      </w:r>
      <w:r w:rsidR="006B262E" w:rsidRPr="000F7DA4">
        <w:t>S</w:t>
      </w:r>
      <w:r w:rsidR="007D0B16" w:rsidRPr="000F7DA4">
        <w:t xml:space="preserve"> (as shown in Figure below)</w:t>
      </w:r>
      <w:r w:rsidR="0010125D" w:rsidRPr="000F7DA4">
        <w:t xml:space="preserve">, the system will require you to attach a spreadsheet that includes the list of all the boilers you have. </w:t>
      </w:r>
    </w:p>
    <w:p w14:paraId="39ECDC54" w14:textId="21BCA825" w:rsidR="007D0B16" w:rsidRDefault="000F7DA4" w:rsidP="00B50902">
      <w:pPr>
        <w:rPr>
          <w:color w:val="FF0000"/>
        </w:rPr>
      </w:pPr>
      <w:r>
        <w:rPr>
          <w:rFonts w:ascii="Calibri" w:eastAsia="Calibri" w:hAnsi="Calibri" w:cs="Times New Roman"/>
          <w:b/>
          <w:bCs/>
          <w:noProof/>
          <w:color w:val="FF0000"/>
          <w:sz w:val="22"/>
          <w:lang w:val="en-ZA" w:eastAsia="en-ZA"/>
        </w:rPr>
        <mc:AlternateContent>
          <mc:Choice Requires="wps">
            <w:drawing>
              <wp:anchor distT="0" distB="0" distL="114300" distR="114300" simplePos="0" relativeHeight="251658281" behindDoc="0" locked="0" layoutInCell="1" allowOverlap="1" wp14:anchorId="23F718C2" wp14:editId="6AA00C6E">
                <wp:simplePos x="0" y="0"/>
                <wp:positionH relativeFrom="margin">
                  <wp:posOffset>3596005</wp:posOffset>
                </wp:positionH>
                <wp:positionV relativeFrom="paragraph">
                  <wp:posOffset>1238250</wp:posOffset>
                </wp:positionV>
                <wp:extent cx="1524000" cy="368300"/>
                <wp:effectExtent l="19050" t="19050" r="19050" b="12700"/>
                <wp:wrapNone/>
                <wp:docPr id="11" name="Rectangle 11"/>
                <wp:cNvGraphicFramePr/>
                <a:graphic xmlns:a="http://schemas.openxmlformats.org/drawingml/2006/main">
                  <a:graphicData uri="http://schemas.microsoft.com/office/word/2010/wordprocessingShape">
                    <wps:wsp>
                      <wps:cNvSpPr/>
                      <wps:spPr>
                        <a:xfrm>
                          <a:off x="0" y="0"/>
                          <a:ext cx="1524000" cy="3683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BAD67" id="Rectangle 11" o:spid="_x0000_s1026" style="position:absolute;margin-left:283.15pt;margin-top:97.5pt;width:120pt;height:29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" filled="f" strokecolor="red" strokeweight="2.25pt">
                <w10:wrap anchorx="margin"/>
              </v:rect>
            </w:pict>
          </mc:Fallback>
        </mc:AlternateContent>
      </w:r>
      <w:r w:rsidR="007D0B16">
        <w:rPr>
          <w:noProof/>
          <w:lang w:val="en-ZA" w:eastAsia="en-ZA"/>
        </w:rPr>
        <w:drawing>
          <wp:inline distT="0" distB="0" distL="0" distR="0" wp14:anchorId="6384EB4C" wp14:editId="047BAD94">
            <wp:extent cx="5259705" cy="2308860"/>
            <wp:effectExtent l="19050" t="19050" r="1714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9705" cy="2308860"/>
                    </a:xfrm>
                    <a:prstGeom prst="rect">
                      <a:avLst/>
                    </a:prstGeom>
                    <a:ln w="19050">
                      <a:solidFill>
                        <a:schemeClr val="tx1"/>
                      </a:solidFill>
                    </a:ln>
                  </pic:spPr>
                </pic:pic>
              </a:graphicData>
            </a:graphic>
          </wp:inline>
        </w:drawing>
      </w:r>
    </w:p>
    <w:p w14:paraId="3166DB90" w14:textId="7F9CB586" w:rsidR="0010125D" w:rsidRPr="000F7DA4" w:rsidRDefault="0010125D" w:rsidP="00B50902">
      <w:r w:rsidRPr="000F7DA4">
        <w:t xml:space="preserve">The template to include these boilers is found on the landing page under Templates: </w:t>
      </w:r>
    </w:p>
    <w:p w14:paraId="543D84FD" w14:textId="77777777" w:rsidR="004A2025" w:rsidRDefault="00161F7F" w:rsidP="00B50902">
      <w:hyperlink r:id="rId32" w:history="1">
        <w:r w:rsidR="004A2025" w:rsidRPr="004A2025">
          <w:rPr>
            <w:rStyle w:val="Hyperlink"/>
          </w:rPr>
          <w:t>https://ghgreporting-public.environment.gov.za/GHGLanding/SAGERSHome.html</w:t>
        </w:r>
      </w:hyperlink>
    </w:p>
    <w:p w14:paraId="6A725182" w14:textId="3DFDFF72" w:rsidR="00B50902" w:rsidRPr="000F7DA4" w:rsidRDefault="0010125D" w:rsidP="00B50902">
      <w:r w:rsidRPr="000F7DA4">
        <w:t>The template also allows the data providers to calc</w:t>
      </w:r>
      <w:r w:rsidR="006B262E" w:rsidRPr="000F7DA4">
        <w:t xml:space="preserve">ulate their installed </w:t>
      </w:r>
      <w:r w:rsidR="007D0B16" w:rsidRPr="000F7DA4">
        <w:t xml:space="preserve">boiler </w:t>
      </w:r>
      <w:r w:rsidR="006B262E" w:rsidRPr="000F7DA4">
        <w:t xml:space="preserve">capacity, by following steps detailed in the template. </w:t>
      </w:r>
    </w:p>
    <w:p w14:paraId="4C359B47" w14:textId="634730F2" w:rsidR="00386EC5" w:rsidRPr="00F34FD6" w:rsidRDefault="001756FD" w:rsidP="00C674E9">
      <w:pPr>
        <w:pStyle w:val="Heading2"/>
      </w:pPr>
      <w:r>
        <w:t xml:space="preserve"> </w:t>
      </w:r>
      <w:bookmarkStart w:id="77" w:name="_Toc95209843"/>
      <w:bookmarkStart w:id="78" w:name="_Toc109812390"/>
      <w:r w:rsidR="00386EC5" w:rsidRPr="00F34FD6">
        <w:t>I have registered in the NAEIS; do I need to re-register on the SAGERS?</w:t>
      </w:r>
      <w:bookmarkEnd w:id="77"/>
      <w:bookmarkEnd w:id="78"/>
    </w:p>
    <w:p w14:paraId="3F92D9E5" w14:textId="77777777" w:rsidR="00386EC5" w:rsidRPr="00297BEA" w:rsidRDefault="00386EC5" w:rsidP="00BF1FBE">
      <w:pPr>
        <w:jc w:val="both"/>
        <w:rPr>
          <w:szCs w:val="24"/>
        </w:rPr>
      </w:pPr>
      <w:r w:rsidRPr="00297BEA">
        <w:rPr>
          <w:szCs w:val="24"/>
        </w:rPr>
        <w:t xml:space="preserve">The SAGERS is the GHG reporting module of the NAEIS, however due to the different reporting requirements with the original NAEIS, the registration is not directly linked. </w:t>
      </w:r>
    </w:p>
    <w:p w14:paraId="7FBDFDA1" w14:textId="41830709" w:rsidR="00297BEA" w:rsidRDefault="00386EC5" w:rsidP="00BF1FBE">
      <w:pPr>
        <w:jc w:val="both"/>
        <w:rPr>
          <w:szCs w:val="24"/>
        </w:rPr>
      </w:pPr>
      <w:r w:rsidRPr="00297BEA">
        <w:rPr>
          <w:szCs w:val="24"/>
        </w:rPr>
        <w:t xml:space="preserve">Data providers that meet the reporting thresholds in Annexure 1 of the </w:t>
      </w:r>
      <w:r w:rsidR="003C31D4">
        <w:rPr>
          <w:szCs w:val="24"/>
        </w:rPr>
        <w:t>NGERs</w:t>
      </w:r>
      <w:r w:rsidR="00E56EEC">
        <w:rPr>
          <w:szCs w:val="24"/>
        </w:rPr>
        <w:t>, 201</w:t>
      </w:r>
      <w:r w:rsidR="00BF1FBE">
        <w:rPr>
          <w:szCs w:val="24"/>
        </w:rPr>
        <w:t>6</w:t>
      </w:r>
      <w:r w:rsidRPr="00297BEA">
        <w:rPr>
          <w:szCs w:val="24"/>
        </w:rPr>
        <w:t xml:space="preserve"> are required to register and declare their activities </w:t>
      </w:r>
      <w:r w:rsidR="00E56EEC">
        <w:rPr>
          <w:szCs w:val="24"/>
        </w:rPr>
        <w:t>on SAGERS.</w:t>
      </w:r>
    </w:p>
    <w:p w14:paraId="5EB6B6C9" w14:textId="5717ECE3" w:rsidR="00900D12" w:rsidRDefault="00900D12" w:rsidP="00C674E9">
      <w:pPr>
        <w:pStyle w:val="Heading2"/>
      </w:pPr>
      <w:bookmarkStart w:id="79" w:name="_Toc95209844"/>
      <w:bookmarkStart w:id="80" w:name="_Toc109812391"/>
      <w:r>
        <w:t>If a facility has not been required to report in terms of previous</w:t>
      </w:r>
      <w:r w:rsidRPr="00615A7A">
        <w:t xml:space="preserve"> environmental-related legislation</w:t>
      </w:r>
      <w:r>
        <w:t>, will they still have to report via SAGERS?</w:t>
      </w:r>
      <w:bookmarkEnd w:id="79"/>
      <w:bookmarkEnd w:id="80"/>
    </w:p>
    <w:p w14:paraId="48A57D3E" w14:textId="3878B06C" w:rsidR="0026348A" w:rsidRPr="0026348A" w:rsidRDefault="00900D12" w:rsidP="0026348A">
      <w:r w:rsidRPr="00900D12">
        <w:t xml:space="preserve">Yes, a facility will need to report their GHG emissions via SAGERS if they meet the reporting thresholds as per the </w:t>
      </w:r>
      <w:r w:rsidR="005B7741">
        <w:t>NGERs, 2016</w:t>
      </w:r>
      <w:r w:rsidR="0077118F">
        <w:t xml:space="preserve"> and any amendments thereof</w:t>
      </w:r>
      <w:r w:rsidR="001814F6">
        <w:t>.</w:t>
      </w:r>
      <w:bookmarkStart w:id="81" w:name="_Toc53659810"/>
      <w:bookmarkStart w:id="82" w:name="_Toc55195652"/>
      <w:bookmarkStart w:id="83" w:name="_Toc55221215"/>
      <w:bookmarkStart w:id="84" w:name="_Toc55222187"/>
      <w:bookmarkStart w:id="85" w:name="_Toc55817223"/>
      <w:bookmarkStart w:id="86" w:name="_Toc55896583"/>
      <w:bookmarkStart w:id="87" w:name="_Toc55195653"/>
      <w:bookmarkStart w:id="88" w:name="_Toc55221216"/>
      <w:bookmarkStart w:id="89" w:name="_Toc55222188"/>
      <w:bookmarkStart w:id="90" w:name="_Toc55817224"/>
      <w:bookmarkStart w:id="91" w:name="_Toc55896584"/>
      <w:bookmarkEnd w:id="81"/>
      <w:bookmarkEnd w:id="82"/>
      <w:bookmarkEnd w:id="83"/>
      <w:bookmarkEnd w:id="84"/>
      <w:bookmarkEnd w:id="85"/>
      <w:bookmarkEnd w:id="86"/>
      <w:bookmarkEnd w:id="87"/>
      <w:bookmarkEnd w:id="88"/>
      <w:bookmarkEnd w:id="89"/>
      <w:bookmarkEnd w:id="90"/>
      <w:bookmarkEnd w:id="91"/>
    </w:p>
    <w:p w14:paraId="17B23522" w14:textId="77777777" w:rsidR="008A6B4B" w:rsidRPr="008A6B4B" w:rsidRDefault="008A6B4B" w:rsidP="006357D7">
      <w:pPr>
        <w:pStyle w:val="ListParagraph"/>
        <w:keepNext/>
        <w:keepLines/>
        <w:spacing w:before="360" w:after="0"/>
        <w:ind w:left="0" w:firstLine="0"/>
        <w:contextualSpacing w:val="0"/>
        <w:outlineLvl w:val="0"/>
        <w:rPr>
          <w:rFonts w:asciiTheme="majorHAnsi" w:eastAsiaTheme="majorEastAsia" w:hAnsiTheme="majorHAnsi" w:cstheme="majorBidi"/>
          <w:b/>
          <w:bCs/>
          <w:vanish/>
          <w:color w:val="auto"/>
          <w:sz w:val="28"/>
          <w:szCs w:val="28"/>
          <w:lang w:val="en-ZA" w:eastAsia="en-US"/>
          <w14:numForm w14:val="oldStyle"/>
        </w:rPr>
      </w:pPr>
      <w:bookmarkStart w:id="92" w:name="_Toc55195654"/>
      <w:bookmarkStart w:id="93" w:name="_Toc55221217"/>
      <w:bookmarkStart w:id="94" w:name="_Toc55222189"/>
      <w:bookmarkStart w:id="95" w:name="_Toc55817225"/>
      <w:bookmarkStart w:id="96" w:name="_Toc55896585"/>
      <w:bookmarkStart w:id="97" w:name="_Toc55195655"/>
      <w:bookmarkStart w:id="98" w:name="_Toc55221218"/>
      <w:bookmarkStart w:id="99" w:name="_Toc55222190"/>
      <w:bookmarkStart w:id="100" w:name="_Toc55817226"/>
      <w:bookmarkStart w:id="101" w:name="_Toc55896586"/>
      <w:bookmarkStart w:id="102" w:name="_Toc55904967"/>
      <w:bookmarkStart w:id="103" w:name="_Toc55905077"/>
      <w:bookmarkStart w:id="104" w:name="_Toc55195656"/>
      <w:bookmarkStart w:id="105" w:name="_Toc55221219"/>
      <w:bookmarkStart w:id="106" w:name="_Toc55222191"/>
      <w:bookmarkStart w:id="107" w:name="_Toc55817227"/>
      <w:bookmarkStart w:id="108" w:name="_Toc55896587"/>
      <w:bookmarkStart w:id="109" w:name="_Toc55195657"/>
      <w:bookmarkStart w:id="110" w:name="_Toc55221220"/>
      <w:bookmarkStart w:id="111" w:name="_Toc55222192"/>
      <w:bookmarkStart w:id="112" w:name="_Toc55817228"/>
      <w:bookmarkStart w:id="113" w:name="_Toc5589658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0BD2BD5" w14:textId="27C75053" w:rsidR="00FE6EF8" w:rsidRPr="00FE6EF8" w:rsidRDefault="00F700DD" w:rsidP="00C674E9">
      <w:pPr>
        <w:pStyle w:val="Heading2"/>
        <w:rPr>
          <w:lang w:eastAsia="en-US"/>
        </w:rPr>
      </w:pPr>
      <w:bookmarkStart w:id="114" w:name="_Toc55195658"/>
      <w:bookmarkStart w:id="115" w:name="_Toc55221221"/>
      <w:bookmarkStart w:id="116" w:name="_Toc55222193"/>
      <w:bookmarkStart w:id="117" w:name="_Toc55817229"/>
      <w:bookmarkStart w:id="118" w:name="_Toc55896589"/>
      <w:bookmarkStart w:id="119" w:name="_Toc95209845"/>
      <w:bookmarkStart w:id="120" w:name="_Toc109812392"/>
      <w:bookmarkEnd w:id="114"/>
      <w:bookmarkEnd w:id="115"/>
      <w:bookmarkEnd w:id="116"/>
      <w:bookmarkEnd w:id="117"/>
      <w:bookmarkEnd w:id="118"/>
      <w:r w:rsidRPr="00FE6EF8">
        <w:rPr>
          <w:lang w:val="en-ZA" w:eastAsia="en-US"/>
        </w:rPr>
        <w:t xml:space="preserve">I am a consultant and am failing to </w:t>
      </w:r>
      <w:r w:rsidR="00393E91" w:rsidRPr="00FE6EF8">
        <w:rPr>
          <w:lang w:val="en-ZA" w:eastAsia="en-US"/>
        </w:rPr>
        <w:t>“</w:t>
      </w:r>
      <w:r w:rsidRPr="00FE6EF8">
        <w:rPr>
          <w:lang w:eastAsia="en-US"/>
        </w:rPr>
        <w:t>Register New Data Provider</w:t>
      </w:r>
      <w:r w:rsidR="00393E91" w:rsidRPr="00FE6EF8">
        <w:rPr>
          <w:lang w:eastAsia="en-US"/>
        </w:rPr>
        <w:t>”</w:t>
      </w:r>
      <w:r w:rsidRPr="00FE6EF8">
        <w:rPr>
          <w:lang w:eastAsia="en-US"/>
        </w:rPr>
        <w:t xml:space="preserve"> for my client</w:t>
      </w:r>
      <w:bookmarkEnd w:id="119"/>
      <w:bookmarkEnd w:id="120"/>
    </w:p>
    <w:p w14:paraId="41FD3502" w14:textId="73D06466" w:rsidR="00F700DD" w:rsidRPr="00297BEA" w:rsidRDefault="00F700DD" w:rsidP="002F0E86">
      <w:pPr>
        <w:jc w:val="both"/>
        <w:rPr>
          <w:lang w:eastAsia="en-US"/>
        </w:rPr>
      </w:pPr>
      <w:r w:rsidRPr="00297BEA">
        <w:rPr>
          <w:lang w:eastAsia="en-US"/>
        </w:rPr>
        <w:t xml:space="preserve">For the “Register New Data Provider Form,” we do not allow </w:t>
      </w:r>
      <w:r w:rsidR="002F0E86">
        <w:rPr>
          <w:lang w:eastAsia="en-US"/>
        </w:rPr>
        <w:t>ECOs/</w:t>
      </w:r>
      <w:r w:rsidRPr="00297BEA">
        <w:rPr>
          <w:lang w:eastAsia="en-US"/>
        </w:rPr>
        <w:t>c</w:t>
      </w:r>
      <w:r w:rsidR="00393E91" w:rsidRPr="00297BEA">
        <w:rPr>
          <w:lang w:eastAsia="en-US"/>
        </w:rPr>
        <w:t>onsultant</w:t>
      </w:r>
      <w:r w:rsidR="002F0E86">
        <w:rPr>
          <w:lang w:eastAsia="en-US"/>
        </w:rPr>
        <w:t>s</w:t>
      </w:r>
      <w:r w:rsidR="00393E91" w:rsidRPr="00297BEA">
        <w:rPr>
          <w:lang w:eastAsia="en-US"/>
        </w:rPr>
        <w:t xml:space="preserve"> to submit a registration </w:t>
      </w:r>
      <w:r w:rsidRPr="00297BEA">
        <w:rPr>
          <w:lang w:eastAsia="en-US"/>
        </w:rPr>
        <w:t>form since the data provider does n</w:t>
      </w:r>
      <w:r w:rsidR="00393E91" w:rsidRPr="00297BEA">
        <w:rPr>
          <w:lang w:eastAsia="en-US"/>
        </w:rPr>
        <w:t>o</w:t>
      </w:r>
      <w:r w:rsidR="00391A35">
        <w:rPr>
          <w:lang w:eastAsia="en-US"/>
        </w:rPr>
        <w:t>t exist in the system until DFFE</w:t>
      </w:r>
      <w:r w:rsidRPr="00297BEA">
        <w:rPr>
          <w:lang w:eastAsia="en-US"/>
        </w:rPr>
        <w:t xml:space="preserve"> approves the “</w:t>
      </w:r>
      <w:r w:rsidR="00F704B7">
        <w:rPr>
          <w:lang w:eastAsia="en-US"/>
        </w:rPr>
        <w:t>Register New Data Provider Form</w:t>
      </w:r>
      <w:r w:rsidRPr="00297BEA">
        <w:rPr>
          <w:lang w:eastAsia="en-US"/>
        </w:rPr>
        <w:t>”</w:t>
      </w:r>
      <w:r w:rsidR="00F704B7">
        <w:rPr>
          <w:lang w:eastAsia="en-US"/>
        </w:rPr>
        <w:t>. Therefore, the “Register New Data Provider Form” can only be initiated by the ACO of the facility/facilities, and once approved the ACO can associate an ECO/Consultant to the facility.</w:t>
      </w:r>
    </w:p>
    <w:p w14:paraId="35C03445" w14:textId="5E26D11C" w:rsidR="008A6B4B" w:rsidRPr="007F2859" w:rsidRDefault="00B04BAB" w:rsidP="007F2859">
      <w:pPr>
        <w:jc w:val="both"/>
        <w:rPr>
          <w:lang w:eastAsia="en-US"/>
        </w:rPr>
      </w:pPr>
      <w:r w:rsidRPr="0A4EECCE">
        <w:rPr>
          <w:lang w:eastAsia="en-US"/>
        </w:rPr>
        <w:t>ECOs/</w:t>
      </w:r>
      <w:r w:rsidR="00393E91" w:rsidRPr="0A4EECCE">
        <w:rPr>
          <w:lang w:eastAsia="en-US"/>
        </w:rPr>
        <w:t>C</w:t>
      </w:r>
      <w:r w:rsidR="00F700DD" w:rsidRPr="0A4EECCE">
        <w:rPr>
          <w:lang w:eastAsia="en-US"/>
        </w:rPr>
        <w:t>onsultant</w:t>
      </w:r>
      <w:r w:rsidRPr="0A4EECCE">
        <w:rPr>
          <w:lang w:eastAsia="en-US"/>
        </w:rPr>
        <w:t>s</w:t>
      </w:r>
      <w:r w:rsidR="00F700DD" w:rsidRPr="0A4EECCE">
        <w:rPr>
          <w:lang w:eastAsia="en-US"/>
        </w:rPr>
        <w:t xml:space="preserve"> can only help the data provider to </w:t>
      </w:r>
      <w:r w:rsidR="00F700DD" w:rsidRPr="00AA4B90">
        <w:rPr>
          <w:bCs/>
          <w:lang w:eastAsia="en-US"/>
        </w:rPr>
        <w:t>prepare</w:t>
      </w:r>
      <w:r w:rsidR="00F700DD" w:rsidRPr="0A4EECCE">
        <w:rPr>
          <w:lang w:eastAsia="en-US"/>
        </w:rPr>
        <w:t xml:space="preserve"> the “Modification Form”, “De-registration Form” and “</w:t>
      </w:r>
      <w:r w:rsidRPr="0A4EECCE">
        <w:rPr>
          <w:lang w:eastAsia="en-US"/>
        </w:rPr>
        <w:t xml:space="preserve">GHG </w:t>
      </w:r>
      <w:r w:rsidR="00F700DD" w:rsidRPr="0A4EECCE">
        <w:rPr>
          <w:lang w:eastAsia="en-US"/>
        </w:rPr>
        <w:t>Annual Emission Report.”</w:t>
      </w:r>
      <w:bookmarkStart w:id="121" w:name="_Toc53659816"/>
      <w:bookmarkStart w:id="122" w:name="_Toc55195660"/>
      <w:bookmarkStart w:id="123" w:name="_Toc55221223"/>
      <w:bookmarkStart w:id="124" w:name="_Toc55222195"/>
      <w:bookmarkStart w:id="125" w:name="_Toc55817231"/>
      <w:bookmarkStart w:id="126" w:name="_Toc55896591"/>
      <w:bookmarkStart w:id="127" w:name="_Toc55195661"/>
      <w:bookmarkStart w:id="128" w:name="_Toc55221224"/>
      <w:bookmarkStart w:id="129" w:name="_Toc55222196"/>
      <w:bookmarkStart w:id="130" w:name="_Toc55817232"/>
      <w:bookmarkStart w:id="131" w:name="_Toc55896592"/>
      <w:bookmarkStart w:id="132" w:name="_Toc55195662"/>
      <w:bookmarkStart w:id="133" w:name="_Toc55221225"/>
      <w:bookmarkStart w:id="134" w:name="_Toc55222197"/>
      <w:bookmarkStart w:id="135" w:name="_Toc55817233"/>
      <w:bookmarkStart w:id="136" w:name="_Toc55896593"/>
      <w:bookmarkStart w:id="137" w:name="_Toc55195663"/>
      <w:bookmarkStart w:id="138" w:name="_Toc55221226"/>
      <w:bookmarkStart w:id="139" w:name="_Toc55222198"/>
      <w:bookmarkStart w:id="140" w:name="_Toc55817234"/>
      <w:bookmarkStart w:id="141" w:name="_Toc55896594"/>
      <w:bookmarkStart w:id="142" w:name="_Toc55195664"/>
      <w:bookmarkStart w:id="143" w:name="_Toc55221227"/>
      <w:bookmarkStart w:id="144" w:name="_Toc55222199"/>
      <w:bookmarkStart w:id="145" w:name="_Toc55817235"/>
      <w:bookmarkStart w:id="146" w:name="_Toc55896595"/>
      <w:bookmarkStart w:id="147" w:name="_Toc55195665"/>
      <w:bookmarkStart w:id="148" w:name="_Toc55221228"/>
      <w:bookmarkStart w:id="149" w:name="_Toc55222200"/>
      <w:bookmarkStart w:id="150" w:name="_Toc55817236"/>
      <w:bookmarkStart w:id="151" w:name="_Toc55896596"/>
      <w:bookmarkStart w:id="152" w:name="_Toc55195666"/>
      <w:bookmarkStart w:id="153" w:name="_Toc55221229"/>
      <w:bookmarkStart w:id="154" w:name="_Toc55222201"/>
      <w:bookmarkStart w:id="155" w:name="_Toc55817237"/>
      <w:bookmarkStart w:id="156" w:name="_Toc55896597"/>
      <w:bookmarkStart w:id="157" w:name="_Toc55195667"/>
      <w:bookmarkStart w:id="158" w:name="_Toc55221230"/>
      <w:bookmarkStart w:id="159" w:name="_Toc55222202"/>
      <w:bookmarkStart w:id="160" w:name="_Toc55817238"/>
      <w:bookmarkStart w:id="161" w:name="_Toc5589659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93385E8" w14:textId="5744A043" w:rsidR="0A4EECCE" w:rsidRDefault="0A4EECCE" w:rsidP="0A4EECCE">
      <w:pPr>
        <w:jc w:val="both"/>
        <w:rPr>
          <w:rFonts w:eastAsia="Calibri" w:cs="Arial"/>
          <w:szCs w:val="24"/>
          <w:lang w:eastAsia="en-US"/>
        </w:rPr>
      </w:pPr>
    </w:p>
    <w:p w14:paraId="715F8E55" w14:textId="4A15986B" w:rsidR="00AE7249" w:rsidRPr="00FE6EF8" w:rsidRDefault="0097644D" w:rsidP="00C674E9">
      <w:pPr>
        <w:pStyle w:val="Heading2"/>
      </w:pPr>
      <w:bookmarkStart w:id="162" w:name="_Toc55195668"/>
      <w:bookmarkStart w:id="163" w:name="_Toc55221231"/>
      <w:bookmarkStart w:id="164" w:name="_Toc55222203"/>
      <w:bookmarkStart w:id="165" w:name="_Toc55817239"/>
      <w:bookmarkStart w:id="166" w:name="_Toc55896599"/>
      <w:bookmarkStart w:id="167" w:name="_Toc95209846"/>
      <w:bookmarkStart w:id="168" w:name="_Toc109812393"/>
      <w:bookmarkEnd w:id="162"/>
      <w:bookmarkEnd w:id="163"/>
      <w:bookmarkEnd w:id="164"/>
      <w:bookmarkEnd w:id="165"/>
      <w:bookmarkEnd w:id="166"/>
      <w:r w:rsidRPr="00FE6EF8">
        <w:t>I just created a new account in SAGERS, but am failing to associate the consultant</w:t>
      </w:r>
      <w:bookmarkEnd w:id="167"/>
      <w:bookmarkEnd w:id="168"/>
    </w:p>
    <w:p w14:paraId="3EB8158A" w14:textId="4B826FB1" w:rsidR="003D65EB" w:rsidRPr="003D65EB" w:rsidRDefault="0097644D" w:rsidP="003D65EB">
      <w:pPr>
        <w:jc w:val="both"/>
        <w:rPr>
          <w:szCs w:val="24"/>
        </w:rPr>
      </w:pPr>
      <w:r>
        <w:rPr>
          <w:szCs w:val="24"/>
        </w:rPr>
        <w:t>T</w:t>
      </w:r>
      <w:r w:rsidRPr="0097644D">
        <w:rPr>
          <w:szCs w:val="24"/>
        </w:rPr>
        <w:t>he ACO should</w:t>
      </w:r>
      <w:r w:rsidR="00AE7249">
        <w:rPr>
          <w:szCs w:val="24"/>
        </w:rPr>
        <w:t xml:space="preserve"> have an approved </w:t>
      </w:r>
      <w:r w:rsidR="00474BF7">
        <w:rPr>
          <w:szCs w:val="24"/>
        </w:rPr>
        <w:t xml:space="preserve">data </w:t>
      </w:r>
      <w:r w:rsidR="00C674E9">
        <w:rPr>
          <w:szCs w:val="24"/>
        </w:rPr>
        <w:t>provider registration</w:t>
      </w:r>
      <w:r w:rsidR="00AE7249">
        <w:rPr>
          <w:szCs w:val="24"/>
        </w:rPr>
        <w:t xml:space="preserve"> </w:t>
      </w:r>
      <w:r w:rsidR="004813B5">
        <w:rPr>
          <w:szCs w:val="24"/>
        </w:rPr>
        <w:t>submittal on</w:t>
      </w:r>
      <w:r w:rsidR="00AE7249">
        <w:rPr>
          <w:szCs w:val="24"/>
        </w:rPr>
        <w:t xml:space="preserve"> the SAGERS </w:t>
      </w:r>
      <w:r w:rsidRPr="0097644D">
        <w:rPr>
          <w:szCs w:val="24"/>
        </w:rPr>
        <w:t>before they can associate</w:t>
      </w:r>
      <w:r w:rsidR="003117C5">
        <w:rPr>
          <w:szCs w:val="24"/>
        </w:rPr>
        <w:t xml:space="preserve"> an</w:t>
      </w:r>
      <w:r w:rsidRPr="0097644D">
        <w:rPr>
          <w:szCs w:val="24"/>
        </w:rPr>
        <w:t xml:space="preserve"> </w:t>
      </w:r>
      <w:r w:rsidR="003117C5">
        <w:rPr>
          <w:szCs w:val="24"/>
        </w:rPr>
        <w:t>ECO/C</w:t>
      </w:r>
      <w:r w:rsidRPr="0097644D">
        <w:rPr>
          <w:szCs w:val="24"/>
        </w:rPr>
        <w:t>onsultant</w:t>
      </w:r>
      <w:r w:rsidR="00AE7249">
        <w:rPr>
          <w:szCs w:val="24"/>
        </w:rPr>
        <w:t xml:space="preserve"> to</w:t>
      </w:r>
      <w:r w:rsidR="0077118F">
        <w:rPr>
          <w:szCs w:val="24"/>
        </w:rPr>
        <w:t xml:space="preserve"> assist them with preparation of an</w:t>
      </w:r>
      <w:r w:rsidR="00AE7249">
        <w:rPr>
          <w:szCs w:val="24"/>
        </w:rPr>
        <w:t xml:space="preserve"> annual</w:t>
      </w:r>
      <w:r w:rsidR="004813B5">
        <w:rPr>
          <w:szCs w:val="24"/>
        </w:rPr>
        <w:t xml:space="preserve"> emission</w:t>
      </w:r>
      <w:r w:rsidR="00AE7249">
        <w:rPr>
          <w:szCs w:val="24"/>
        </w:rPr>
        <w:t xml:space="preserve"> report</w:t>
      </w:r>
      <w:r w:rsidR="003D65EB">
        <w:rPr>
          <w:szCs w:val="24"/>
        </w:rPr>
        <w:t xml:space="preserve"> a</w:t>
      </w:r>
      <w:r w:rsidR="003D65EB" w:rsidRPr="003D65EB">
        <w:rPr>
          <w:szCs w:val="24"/>
        </w:rPr>
        <w:t>nd other submittals on SAGERS.</w:t>
      </w:r>
    </w:p>
    <w:p w14:paraId="6182865F" w14:textId="63758607" w:rsidR="00344A4E" w:rsidRPr="007F2859" w:rsidRDefault="00FF6C1D" w:rsidP="007F2859">
      <w:pPr>
        <w:pStyle w:val="Heading2"/>
        <w:rPr>
          <w:rStyle w:val="Heading3Char"/>
          <w:b/>
          <w:color w:val="C98711"/>
          <w:sz w:val="26"/>
          <w:szCs w:val="26"/>
        </w:rPr>
      </w:pPr>
      <w:bookmarkStart w:id="169" w:name="_Toc95209847"/>
      <w:bookmarkStart w:id="170" w:name="_Toc109812394"/>
      <w:r w:rsidRPr="00DD63DD">
        <w:t xml:space="preserve">I </w:t>
      </w:r>
      <w:r w:rsidRPr="00DD63DD">
        <w:rPr>
          <w:rStyle w:val="Heading2Char"/>
          <w:b/>
          <w:bCs/>
        </w:rPr>
        <w:t>have submitted my registration</w:t>
      </w:r>
      <w:r w:rsidR="00D408BF" w:rsidRPr="00DD63DD">
        <w:rPr>
          <w:rStyle w:val="Heading2Char"/>
          <w:b/>
          <w:bCs/>
        </w:rPr>
        <w:t xml:space="preserve"> form on SAGERS</w:t>
      </w:r>
      <w:r w:rsidRPr="00DD63DD">
        <w:rPr>
          <w:rStyle w:val="Heading2Char"/>
          <w:b/>
          <w:bCs/>
        </w:rPr>
        <w:t xml:space="preserve"> and would </w:t>
      </w:r>
      <w:r w:rsidR="006B2412" w:rsidRPr="00DD63DD">
        <w:rPr>
          <w:rStyle w:val="Heading2Char"/>
          <w:b/>
          <w:bCs/>
        </w:rPr>
        <w:t xml:space="preserve">like </w:t>
      </w:r>
      <w:r w:rsidR="007F2859">
        <w:rPr>
          <w:rStyle w:val="Heading2Char"/>
          <w:b/>
          <w:bCs/>
        </w:rPr>
        <w:t>to</w:t>
      </w:r>
      <w:r w:rsidR="008E44CB">
        <w:rPr>
          <w:rStyle w:val="Heading2Char"/>
          <w:b/>
          <w:bCs/>
        </w:rPr>
        <w:t xml:space="preserve"> </w:t>
      </w:r>
      <w:r w:rsidRPr="00DD63DD">
        <w:rPr>
          <w:rStyle w:val="Heading2Char"/>
          <w:b/>
          <w:bCs/>
        </w:rPr>
        <w:t>revise it, how do I modify my submission?</w:t>
      </w:r>
      <w:bookmarkStart w:id="171" w:name="_Toc57007821"/>
      <w:bookmarkStart w:id="172" w:name="_Toc57007822"/>
      <w:bookmarkStart w:id="173" w:name="_Toc57007823"/>
      <w:bookmarkStart w:id="174" w:name="_Toc57007824"/>
      <w:bookmarkStart w:id="175" w:name="_Toc57007825"/>
      <w:bookmarkStart w:id="176" w:name="_Toc57007826"/>
      <w:bookmarkStart w:id="177" w:name="_Toc57007827"/>
      <w:bookmarkStart w:id="178" w:name="_Toc57007828"/>
      <w:bookmarkStart w:id="179" w:name="_Toc57007829"/>
      <w:bookmarkStart w:id="180" w:name="_Toc57007830"/>
      <w:bookmarkStart w:id="181" w:name="_Toc57007831"/>
      <w:bookmarkStart w:id="182" w:name="_Toc57007832"/>
      <w:bookmarkStart w:id="183" w:name="_Toc57007833"/>
      <w:bookmarkStart w:id="184" w:name="_Toc57007834"/>
      <w:bookmarkStart w:id="185" w:name="_Toc57007835"/>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7FCFA510" w14:textId="151CEAAB" w:rsidR="00FF6C1D" w:rsidRPr="006357D7" w:rsidRDefault="00FF6C1D" w:rsidP="009D08FD">
      <w:pPr>
        <w:pStyle w:val="Heading3"/>
        <w:numPr>
          <w:ilvl w:val="2"/>
          <w:numId w:val="10"/>
        </w:numPr>
      </w:pPr>
      <w:bookmarkStart w:id="186" w:name="_Toc95209848"/>
      <w:bookmarkStart w:id="187" w:name="_Toc109812395"/>
      <w:r w:rsidRPr="00C674E9">
        <w:rPr>
          <w:rStyle w:val="Heading3Char"/>
          <w:b/>
        </w:rPr>
        <w:t>If the submissi</w:t>
      </w:r>
      <w:r w:rsidR="00804C13" w:rsidRPr="00C674E9">
        <w:rPr>
          <w:rStyle w:val="Heading3Char"/>
          <w:b/>
        </w:rPr>
        <w:t>on has not been approved by the authority, the ACO can request a revision</w:t>
      </w:r>
      <w:r w:rsidR="00805C56" w:rsidRPr="00C674E9">
        <w:rPr>
          <w:rStyle w:val="Heading3Char"/>
          <w:b/>
        </w:rPr>
        <w:t>/withdrawal</w:t>
      </w:r>
      <w:r w:rsidR="005340EF" w:rsidRPr="00C674E9">
        <w:rPr>
          <w:rStyle w:val="Heading3Char"/>
          <w:b/>
        </w:rPr>
        <w:t xml:space="preserve"> by following the steps below:</w:t>
      </w:r>
      <w:bookmarkEnd w:id="186"/>
      <w:bookmarkEnd w:id="187"/>
    </w:p>
    <w:p w14:paraId="39D639AA" w14:textId="005075F6" w:rsidR="005A0F50" w:rsidRPr="00D408BF" w:rsidRDefault="00B10A0B" w:rsidP="00B10A0B">
      <w:pPr>
        <w:spacing w:line="259" w:lineRule="auto"/>
        <w:rPr>
          <w:rFonts w:eastAsia="Calibri" w:cs="Times New Roman"/>
          <w:b/>
          <w:bCs/>
          <w:lang w:val="en-ZA" w:eastAsia="en-US"/>
        </w:rPr>
      </w:pPr>
      <w:r w:rsidRPr="00D408BF">
        <w:rPr>
          <w:rFonts w:eastAsia="Calibri" w:cs="Times New Roman"/>
          <w:b/>
          <w:bCs/>
          <w:lang w:val="en-ZA" w:eastAsia="en-US"/>
        </w:rPr>
        <w:t>Step 1</w:t>
      </w:r>
      <w:r w:rsidR="00D408BF">
        <w:rPr>
          <w:rFonts w:eastAsia="Calibri" w:cs="Times New Roman"/>
          <w:b/>
          <w:bCs/>
          <w:lang w:val="en-ZA" w:eastAsia="en-US"/>
        </w:rPr>
        <w:t>: Once on the dashboard, click on the “</w:t>
      </w:r>
      <w:r w:rsidR="00597943">
        <w:rPr>
          <w:rFonts w:eastAsia="Calibri" w:cs="Times New Roman"/>
          <w:b/>
          <w:bCs/>
          <w:lang w:val="en-ZA" w:eastAsia="en-US"/>
        </w:rPr>
        <w:t>Track Submittal Status</w:t>
      </w:r>
      <w:r w:rsidR="00D408BF">
        <w:rPr>
          <w:rFonts w:eastAsia="Calibri" w:cs="Times New Roman"/>
          <w:b/>
          <w:bCs/>
          <w:lang w:val="en-ZA" w:eastAsia="en-US"/>
        </w:rPr>
        <w:t>” tab</w:t>
      </w:r>
      <w:r w:rsidR="00597943">
        <w:rPr>
          <w:rFonts w:eastAsia="Calibri" w:cs="Times New Roman"/>
          <w:b/>
          <w:bCs/>
          <w:lang w:val="en-ZA" w:eastAsia="en-US"/>
        </w:rPr>
        <w:t xml:space="preserve"> on the left navigation pane</w:t>
      </w:r>
    </w:p>
    <w:p w14:paraId="18B28AAB" w14:textId="664AABB9" w:rsidR="005340EF" w:rsidRPr="00D408BF" w:rsidRDefault="00597943" w:rsidP="00D408BF">
      <w:pPr>
        <w:spacing w:line="259" w:lineRule="auto"/>
        <w:jc w:val="center"/>
        <w:rPr>
          <w:rFonts w:ascii="Calibri" w:eastAsia="Calibri" w:hAnsi="Calibri" w:cs="Times New Roman"/>
          <w:b/>
          <w:bCs/>
          <w:color w:val="FF0000"/>
          <w:sz w:val="22"/>
          <w:lang w:val="en-ZA" w:eastAsia="en-US"/>
        </w:rPr>
      </w:pPr>
      <w:r>
        <w:rPr>
          <w:rFonts w:ascii="Calibri" w:eastAsia="Calibri" w:hAnsi="Calibri" w:cs="Times New Roman"/>
          <w:b/>
          <w:bCs/>
          <w:noProof/>
          <w:color w:val="FF0000"/>
          <w:sz w:val="22"/>
          <w:lang w:val="en-ZA" w:eastAsia="en-ZA"/>
        </w:rPr>
        <mc:AlternateContent>
          <mc:Choice Requires="wps">
            <w:drawing>
              <wp:anchor distT="0" distB="0" distL="114300" distR="114300" simplePos="0" relativeHeight="251658245" behindDoc="0" locked="0" layoutInCell="1" allowOverlap="1" wp14:anchorId="59AAC2AE" wp14:editId="6AA3FAF0">
                <wp:simplePos x="0" y="0"/>
                <wp:positionH relativeFrom="margin">
                  <wp:align>left</wp:align>
                </wp:positionH>
                <wp:positionV relativeFrom="paragraph">
                  <wp:posOffset>1347608</wp:posOffset>
                </wp:positionV>
                <wp:extent cx="800100" cy="23812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80010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54DEF" id="Rectangle 17" o:spid="_x0000_s1026" style="position:absolute;margin-left:0;margin-top:106.1pt;width:63pt;height:18.7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" filled="f" strokecolor="red" strokeweight="2.25pt">
                <w10:wrap anchorx="margin"/>
              </v:rect>
            </w:pict>
          </mc:Fallback>
        </mc:AlternateContent>
      </w:r>
      <w:r w:rsidRPr="00597943">
        <w:rPr>
          <w:rFonts w:ascii="Calibri" w:eastAsia="Calibri" w:hAnsi="Calibri" w:cs="Times New Roman"/>
          <w:b/>
          <w:bCs/>
          <w:noProof/>
          <w:color w:val="FF0000"/>
          <w:sz w:val="22"/>
          <w:lang w:val="en-ZA" w:eastAsia="en-ZA"/>
        </w:rPr>
        <w:drawing>
          <wp:inline distT="0" distB="0" distL="0" distR="0" wp14:anchorId="4DD24359" wp14:editId="24AA44A9">
            <wp:extent cx="5834607" cy="2043486"/>
            <wp:effectExtent l="19050" t="19050" r="13970" b="13970"/>
            <wp:docPr id="2" name="Picture 5">
              <a:extLst xmlns:a="http://schemas.openxmlformats.org/drawingml/2006/main">
                <a:ext uri="{FF2B5EF4-FFF2-40B4-BE49-F238E27FC236}">
                  <a16:creationId xmlns:a16="http://schemas.microsoft.com/office/drawing/2014/main" id="{2421CC70-360D-48A4-A32A-46CDB6A8A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421CC70-360D-48A4-A32A-46CDB6A8AD3B}"/>
                        </a:ext>
                      </a:extLst>
                    </pic:cNvPr>
                    <pic:cNvPicPr>
                      <a:picLocks noChangeAspect="1"/>
                    </pic:cNvPicPr>
                  </pic:nvPicPr>
                  <pic:blipFill>
                    <a:blip r:embed="rId33"/>
                    <a:stretch>
                      <a:fillRect/>
                    </a:stretch>
                  </pic:blipFill>
                  <pic:spPr>
                    <a:xfrm>
                      <a:off x="0" y="0"/>
                      <a:ext cx="5847980" cy="2048170"/>
                    </a:xfrm>
                    <a:prstGeom prst="rect">
                      <a:avLst/>
                    </a:prstGeom>
                    <a:ln>
                      <a:solidFill>
                        <a:schemeClr val="tx1"/>
                      </a:solidFill>
                    </a:ln>
                  </pic:spPr>
                </pic:pic>
              </a:graphicData>
            </a:graphic>
          </wp:inline>
        </w:drawing>
      </w:r>
    </w:p>
    <w:p w14:paraId="469041BC" w14:textId="6F2E2595" w:rsidR="00B10A0B" w:rsidRPr="00D408BF" w:rsidRDefault="00B10A0B" w:rsidP="00B10A0B">
      <w:pPr>
        <w:spacing w:line="259" w:lineRule="auto"/>
        <w:rPr>
          <w:rFonts w:eastAsia="Calibri" w:cs="Times New Roman"/>
          <w:b/>
          <w:bCs/>
          <w:lang w:val="en-ZA" w:eastAsia="en-US"/>
        </w:rPr>
      </w:pPr>
      <w:r w:rsidRPr="00D408BF">
        <w:rPr>
          <w:rFonts w:eastAsia="Calibri" w:cs="Times New Roman"/>
          <w:b/>
          <w:bCs/>
          <w:lang w:val="en-ZA" w:eastAsia="en-US"/>
        </w:rPr>
        <w:t>Step 2</w:t>
      </w:r>
      <w:r w:rsidR="00D408BF">
        <w:rPr>
          <w:rFonts w:eastAsia="Calibri" w:cs="Times New Roman"/>
          <w:b/>
          <w:bCs/>
          <w:lang w:val="en-ZA" w:eastAsia="en-US"/>
        </w:rPr>
        <w:t xml:space="preserve">: Then click on </w:t>
      </w:r>
      <w:r w:rsidR="00597943">
        <w:rPr>
          <w:rFonts w:eastAsia="Calibri" w:cs="Times New Roman"/>
          <w:b/>
          <w:bCs/>
          <w:lang w:val="en-ZA" w:eastAsia="en-US"/>
        </w:rPr>
        <w:t xml:space="preserve">the orange icon found on the right of the facility </w:t>
      </w:r>
      <w:r w:rsidR="00805C56">
        <w:rPr>
          <w:rFonts w:eastAsia="Calibri" w:cs="Times New Roman"/>
          <w:b/>
          <w:bCs/>
          <w:lang w:val="en-ZA" w:eastAsia="en-US"/>
        </w:rPr>
        <w:t>you wish to revise/withdraw the report.</w:t>
      </w:r>
    </w:p>
    <w:p w14:paraId="08D02729" w14:textId="1C8721C4" w:rsidR="00F16DD0" w:rsidRPr="00E00A35" w:rsidRDefault="001F4EB9" w:rsidP="00E00A35">
      <w:pPr>
        <w:spacing w:line="259" w:lineRule="auto"/>
        <w:jc w:val="center"/>
        <w:rPr>
          <w:rFonts w:ascii="Calibri" w:eastAsia="Calibri" w:hAnsi="Calibri" w:cs="Times New Roman"/>
          <w:b/>
          <w:bCs/>
          <w:color w:val="FF0000"/>
          <w:sz w:val="22"/>
          <w:lang w:val="en-ZA" w:eastAsia="en-US"/>
        </w:rPr>
      </w:pPr>
      <w:r>
        <w:rPr>
          <w:rFonts w:ascii="Calibri" w:eastAsia="Calibri" w:hAnsi="Calibri" w:cs="Times New Roman"/>
          <w:b/>
          <w:bCs/>
          <w:noProof/>
          <w:color w:val="FF0000"/>
          <w:sz w:val="22"/>
          <w:lang w:val="en-ZA" w:eastAsia="en-ZA"/>
        </w:rPr>
        <mc:AlternateContent>
          <mc:Choice Requires="wps">
            <w:drawing>
              <wp:anchor distT="0" distB="0" distL="114300" distR="114300" simplePos="0" relativeHeight="251658246" behindDoc="0" locked="0" layoutInCell="1" allowOverlap="1" wp14:anchorId="0BA31A96" wp14:editId="33480521">
                <wp:simplePos x="0" y="0"/>
                <wp:positionH relativeFrom="margin">
                  <wp:posOffset>4954905</wp:posOffset>
                </wp:positionH>
                <wp:positionV relativeFrom="paragraph">
                  <wp:posOffset>262255</wp:posOffset>
                </wp:positionV>
                <wp:extent cx="206734" cy="190831"/>
                <wp:effectExtent l="19050" t="19050" r="22225" b="19050"/>
                <wp:wrapNone/>
                <wp:docPr id="19" name="Rectangle 19"/>
                <wp:cNvGraphicFramePr/>
                <a:graphic xmlns:a="http://schemas.openxmlformats.org/drawingml/2006/main">
                  <a:graphicData uri="http://schemas.microsoft.com/office/word/2010/wordprocessingShape">
                    <wps:wsp>
                      <wps:cNvSpPr/>
                      <wps:spPr>
                        <a:xfrm>
                          <a:off x="0" y="0"/>
                          <a:ext cx="206734" cy="1908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264BB" id="Rectangle 19" o:spid="_x0000_s1026" style="position:absolute;margin-left:390.15pt;margin-top:20.65pt;width:16.3pt;height:15.05pt;z-index:2516582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" filled="f" strokecolor="red" strokeweight="2.25pt">
                <w10:wrap anchorx="margin"/>
              </v:rect>
            </w:pict>
          </mc:Fallback>
        </mc:AlternateContent>
      </w:r>
      <w:r w:rsidRPr="001F4EB9">
        <w:rPr>
          <w:noProof/>
          <w:bdr w:val="triple" w:sz="4" w:space="0" w:color="auto"/>
          <w:lang w:val="en-ZA" w:eastAsia="en-ZA"/>
        </w:rPr>
        <w:drawing>
          <wp:inline distT="0" distB="0" distL="0" distR="0" wp14:anchorId="3762C25E" wp14:editId="2475283D">
            <wp:extent cx="5203825" cy="2177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80228" cy="2209384"/>
                    </a:xfrm>
                    <a:prstGeom prst="rect">
                      <a:avLst/>
                    </a:prstGeom>
                  </pic:spPr>
                </pic:pic>
              </a:graphicData>
            </a:graphic>
          </wp:inline>
        </w:drawing>
      </w:r>
    </w:p>
    <w:p w14:paraId="043844E3" w14:textId="1DBABA21" w:rsidR="00B10A0B" w:rsidRPr="00B57F0C" w:rsidRDefault="00B10A0B" w:rsidP="00B10A0B">
      <w:pPr>
        <w:spacing w:line="259" w:lineRule="auto"/>
        <w:rPr>
          <w:rFonts w:eastAsia="Calibri" w:cs="Times New Roman"/>
          <w:b/>
          <w:bCs/>
          <w:lang w:val="en-ZA" w:eastAsia="en-US"/>
        </w:rPr>
      </w:pPr>
      <w:r w:rsidRPr="00B57F0C">
        <w:rPr>
          <w:rFonts w:eastAsia="Calibri" w:cs="Times New Roman"/>
          <w:b/>
          <w:bCs/>
          <w:lang w:val="en-ZA" w:eastAsia="en-US"/>
        </w:rPr>
        <w:t>Step 3</w:t>
      </w:r>
      <w:r w:rsidR="00B57F0C">
        <w:rPr>
          <w:rFonts w:eastAsia="Calibri" w:cs="Times New Roman"/>
          <w:b/>
          <w:bCs/>
          <w:lang w:val="en-ZA" w:eastAsia="en-US"/>
        </w:rPr>
        <w:t xml:space="preserve">: </w:t>
      </w:r>
      <w:r w:rsidR="008B4883">
        <w:rPr>
          <w:rFonts w:eastAsia="Calibri" w:cs="Times New Roman"/>
          <w:b/>
          <w:bCs/>
          <w:lang w:val="en-ZA" w:eastAsia="en-US"/>
        </w:rPr>
        <w:t>Click on the “Send the request for Revision/Withdrawal to the administrator</w:t>
      </w:r>
      <w:r w:rsidR="00805C56">
        <w:rPr>
          <w:rFonts w:eastAsia="Calibri" w:cs="Times New Roman"/>
          <w:b/>
          <w:bCs/>
          <w:lang w:val="en-ZA" w:eastAsia="en-US"/>
        </w:rPr>
        <w:t>”</w:t>
      </w:r>
      <w:r w:rsidR="008B4883">
        <w:rPr>
          <w:rFonts w:eastAsia="Calibri" w:cs="Times New Roman"/>
          <w:b/>
          <w:bCs/>
          <w:lang w:val="en-ZA" w:eastAsia="en-US"/>
        </w:rPr>
        <w:t xml:space="preserve"> tab at the top of the screen</w:t>
      </w:r>
    </w:p>
    <w:p w14:paraId="1ACB4BD8" w14:textId="0E865B59" w:rsidR="00420D56" w:rsidRDefault="00597943" w:rsidP="00420D56">
      <w:pPr>
        <w:spacing w:line="259" w:lineRule="auto"/>
        <w:jc w:val="center"/>
        <w:rPr>
          <w:rFonts w:ascii="Calibri" w:eastAsia="Calibri" w:hAnsi="Calibri" w:cs="Times New Roman"/>
          <w:b/>
          <w:bCs/>
          <w:color w:val="FF0000"/>
          <w:sz w:val="22"/>
          <w:lang w:val="en-ZA" w:eastAsia="en-US"/>
        </w:rPr>
      </w:pPr>
      <w:r>
        <w:rPr>
          <w:rFonts w:ascii="Calibri" w:eastAsia="Calibri" w:hAnsi="Calibri" w:cs="Times New Roman"/>
          <w:b/>
          <w:bCs/>
          <w:noProof/>
          <w:color w:val="FF0000"/>
          <w:sz w:val="22"/>
          <w:lang w:val="en-ZA" w:eastAsia="en-ZA"/>
        </w:rPr>
        <mc:AlternateContent>
          <mc:Choice Requires="wps">
            <w:drawing>
              <wp:anchor distT="0" distB="0" distL="114300" distR="114300" simplePos="0" relativeHeight="251658247" behindDoc="0" locked="0" layoutInCell="1" allowOverlap="1" wp14:anchorId="536B1283" wp14:editId="52735667">
                <wp:simplePos x="0" y="0"/>
                <wp:positionH relativeFrom="column">
                  <wp:posOffset>75455</wp:posOffset>
                </wp:positionH>
                <wp:positionV relativeFrom="paragraph">
                  <wp:posOffset>494417</wp:posOffset>
                </wp:positionV>
                <wp:extent cx="5796500" cy="158805"/>
                <wp:effectExtent l="0" t="0" r="13970" b="12700"/>
                <wp:wrapNone/>
                <wp:docPr id="22" name="Rectangle 22"/>
                <wp:cNvGraphicFramePr/>
                <a:graphic xmlns:a="http://schemas.openxmlformats.org/drawingml/2006/main">
                  <a:graphicData uri="http://schemas.microsoft.com/office/word/2010/wordprocessingShape">
                    <wps:wsp>
                      <wps:cNvSpPr/>
                      <wps:spPr>
                        <a:xfrm>
                          <a:off x="0" y="0"/>
                          <a:ext cx="5796500" cy="158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0D8071" id="Rectangle 22" o:spid="_x0000_s1026" style="position:absolute;margin-left:5.95pt;margin-top:38.95pt;width:456.4pt;height:12.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" filled="f" strokecolor="red" strokeweight="2pt"/>
            </w:pict>
          </mc:Fallback>
        </mc:AlternateContent>
      </w:r>
      <w:r w:rsidRPr="00597943">
        <w:rPr>
          <w:rFonts w:ascii="Calibri" w:eastAsia="Calibri" w:hAnsi="Calibri" w:cs="Times New Roman"/>
          <w:b/>
          <w:bCs/>
          <w:noProof/>
          <w:color w:val="FF0000"/>
          <w:sz w:val="22"/>
          <w:lang w:val="en-ZA" w:eastAsia="en-ZA"/>
        </w:rPr>
        <w:drawing>
          <wp:inline distT="0" distB="0" distL="0" distR="0" wp14:anchorId="530C7FE4" wp14:editId="3A2D7283">
            <wp:extent cx="5884457" cy="2480807"/>
            <wp:effectExtent l="19050" t="19050" r="21590" b="1524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894236" cy="2484930"/>
                    </a:xfrm>
                    <a:prstGeom prst="rect">
                      <a:avLst/>
                    </a:prstGeom>
                    <a:ln>
                      <a:solidFill>
                        <a:schemeClr val="tx1"/>
                      </a:solidFill>
                    </a:ln>
                  </pic:spPr>
                </pic:pic>
              </a:graphicData>
            </a:graphic>
          </wp:inline>
        </w:drawing>
      </w:r>
    </w:p>
    <w:p w14:paraId="2671AC24" w14:textId="36BDC198" w:rsidR="00B10A0B" w:rsidRDefault="00B10A0B" w:rsidP="00B10A0B">
      <w:pPr>
        <w:spacing w:line="259" w:lineRule="auto"/>
        <w:rPr>
          <w:rFonts w:eastAsia="Calibri" w:cs="Times New Roman"/>
          <w:b/>
          <w:bCs/>
          <w:lang w:val="en-ZA" w:eastAsia="en-US"/>
        </w:rPr>
      </w:pPr>
      <w:r w:rsidRPr="00FF2308">
        <w:rPr>
          <w:rFonts w:eastAsia="Calibri" w:cs="Times New Roman"/>
          <w:b/>
          <w:bCs/>
          <w:lang w:val="en-ZA" w:eastAsia="en-US"/>
        </w:rPr>
        <w:t>Step 4</w:t>
      </w:r>
      <w:r w:rsidR="00FF2308">
        <w:rPr>
          <w:rFonts w:eastAsia="Calibri" w:cs="Times New Roman"/>
          <w:b/>
          <w:bCs/>
          <w:lang w:val="en-ZA" w:eastAsia="en-US"/>
        </w:rPr>
        <w:t xml:space="preserve">: Click on </w:t>
      </w:r>
      <w:r w:rsidR="001104AA">
        <w:rPr>
          <w:rFonts w:eastAsia="Calibri" w:cs="Times New Roman"/>
          <w:b/>
          <w:bCs/>
          <w:lang w:val="en-ZA" w:eastAsia="en-US"/>
        </w:rPr>
        <w:t xml:space="preserve">either “Revision” or </w:t>
      </w:r>
      <w:r w:rsidR="00FF2308">
        <w:rPr>
          <w:rFonts w:eastAsia="Calibri" w:cs="Times New Roman"/>
          <w:b/>
          <w:bCs/>
          <w:lang w:val="en-ZA" w:eastAsia="en-US"/>
        </w:rPr>
        <w:t xml:space="preserve">“Withdrawal” </w:t>
      </w:r>
      <w:r w:rsidR="0073013B">
        <w:rPr>
          <w:rFonts w:eastAsia="Calibri" w:cs="Times New Roman"/>
          <w:b/>
          <w:bCs/>
          <w:lang w:val="en-ZA" w:eastAsia="en-US"/>
        </w:rPr>
        <w:t>and complete the box requesting a reason</w:t>
      </w:r>
      <w:r w:rsidR="001104AA">
        <w:rPr>
          <w:rFonts w:eastAsia="Calibri" w:cs="Times New Roman"/>
          <w:b/>
          <w:bCs/>
          <w:lang w:val="en-ZA" w:eastAsia="en-US"/>
        </w:rPr>
        <w:t xml:space="preserve"> for the modification</w:t>
      </w:r>
      <w:r w:rsidR="0073013B">
        <w:rPr>
          <w:rFonts w:eastAsia="Calibri" w:cs="Times New Roman"/>
          <w:b/>
          <w:bCs/>
          <w:lang w:val="en-ZA" w:eastAsia="en-US"/>
        </w:rPr>
        <w:t>.</w:t>
      </w:r>
      <w:r w:rsidR="001104AA">
        <w:rPr>
          <w:rFonts w:eastAsia="Calibri" w:cs="Times New Roman"/>
          <w:b/>
          <w:bCs/>
          <w:lang w:val="en-ZA" w:eastAsia="en-US"/>
        </w:rPr>
        <w:t xml:space="preserve"> Once completed, you may click on the “Send Request” </w:t>
      </w:r>
    </w:p>
    <w:p w14:paraId="76F99E7A" w14:textId="130C3E23" w:rsidR="00597943" w:rsidRPr="00FF2308" w:rsidRDefault="00597943" w:rsidP="00B10A0B">
      <w:pPr>
        <w:spacing w:line="259" w:lineRule="auto"/>
        <w:rPr>
          <w:rFonts w:eastAsia="Calibri" w:cs="Times New Roman"/>
          <w:b/>
          <w:bCs/>
          <w:lang w:val="en-ZA" w:eastAsia="en-US"/>
        </w:rPr>
      </w:pPr>
      <w:r>
        <w:rPr>
          <w:rFonts w:eastAsia="Calibri" w:cs="Times New Roman"/>
          <w:b/>
          <w:bCs/>
          <w:noProof/>
          <w:lang w:val="en-ZA" w:eastAsia="en-ZA"/>
        </w:rPr>
        <mc:AlternateContent>
          <mc:Choice Requires="wps">
            <w:drawing>
              <wp:anchor distT="0" distB="0" distL="114300" distR="114300" simplePos="0" relativeHeight="251658248" behindDoc="0" locked="0" layoutInCell="1" allowOverlap="1" wp14:anchorId="57B88EE5" wp14:editId="24BD0E38">
                <wp:simplePos x="0" y="0"/>
                <wp:positionH relativeFrom="column">
                  <wp:posOffset>4694831</wp:posOffset>
                </wp:positionH>
                <wp:positionV relativeFrom="paragraph">
                  <wp:posOffset>961611</wp:posOffset>
                </wp:positionV>
                <wp:extent cx="890021" cy="214685"/>
                <wp:effectExtent l="0" t="0" r="24765" b="13970"/>
                <wp:wrapNone/>
                <wp:docPr id="24" name="Rectangle 24"/>
                <wp:cNvGraphicFramePr/>
                <a:graphic xmlns:a="http://schemas.openxmlformats.org/drawingml/2006/main">
                  <a:graphicData uri="http://schemas.microsoft.com/office/word/2010/wordprocessingShape">
                    <wps:wsp>
                      <wps:cNvSpPr/>
                      <wps:spPr>
                        <a:xfrm>
                          <a:off x="0" y="0"/>
                          <a:ext cx="890021"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3D414B" id="Rectangle 24" o:spid="_x0000_s1026" style="position:absolute;margin-left:369.65pt;margin-top:75.7pt;width:70.1pt;height:16.9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" filled="f" strokecolor="red" strokeweight="2pt"/>
            </w:pict>
          </mc:Fallback>
        </mc:AlternateContent>
      </w:r>
      <w:r w:rsidRPr="00597943">
        <w:rPr>
          <w:rFonts w:eastAsia="Calibri" w:cs="Times New Roman"/>
          <w:b/>
          <w:bCs/>
          <w:noProof/>
          <w:lang w:val="en-ZA" w:eastAsia="en-ZA"/>
        </w:rPr>
        <w:drawing>
          <wp:inline distT="0" distB="0" distL="0" distR="0" wp14:anchorId="74D33E3A" wp14:editId="6FBCF40D">
            <wp:extent cx="5886598" cy="2122722"/>
            <wp:effectExtent l="19050" t="19050" r="19050" b="1143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36">
                      <a:extLst>
                        <a:ext uri="{28A0092B-C50C-407E-A947-70E740481C1C}">
                          <a14:useLocalDpi xmlns:a14="http://schemas.microsoft.com/office/drawing/2010/main" val="0"/>
                        </a:ext>
                      </a:extLst>
                    </a:blip>
                    <a:srcRect l="19664" t="2198" r="15505"/>
                    <a:stretch/>
                  </pic:blipFill>
                  <pic:spPr bwMode="auto">
                    <a:xfrm>
                      <a:off x="0" y="0"/>
                      <a:ext cx="5903050" cy="2128655"/>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BB5EEF" w14:textId="48FFC368" w:rsidR="00597943" w:rsidRDefault="00B10A0B" w:rsidP="00B10A0B">
      <w:pPr>
        <w:jc w:val="both"/>
        <w:rPr>
          <w:rFonts w:eastAsia="Calibri" w:cs="Times New Roman"/>
          <w:szCs w:val="24"/>
          <w:lang w:val="en-ZA" w:eastAsia="en-US"/>
        </w:rPr>
      </w:pPr>
      <w:r w:rsidRPr="00387F03">
        <w:rPr>
          <w:rFonts w:eastAsia="Calibri" w:cs="Times New Roman"/>
          <w:szCs w:val="24"/>
          <w:lang w:val="en-ZA" w:eastAsia="en-US"/>
        </w:rPr>
        <w:t>After sending the request, you wait for the approval from the administrator.</w:t>
      </w:r>
    </w:p>
    <w:p w14:paraId="6CE6B551" w14:textId="4423EACC" w:rsidR="00B10A0B" w:rsidRPr="006357D7" w:rsidRDefault="00B10A0B" w:rsidP="009D08FD">
      <w:pPr>
        <w:pStyle w:val="Heading3"/>
        <w:numPr>
          <w:ilvl w:val="2"/>
          <w:numId w:val="12"/>
        </w:numPr>
      </w:pPr>
      <w:bookmarkStart w:id="188" w:name="_Toc95209849"/>
      <w:bookmarkStart w:id="189" w:name="_Toc109812396"/>
      <w:r w:rsidRPr="006357D7">
        <w:t>If the submission has been approved by the authority, the ACO can submit a modification form</w:t>
      </w:r>
      <w:r w:rsidR="005340EF" w:rsidRPr="006357D7">
        <w:t xml:space="preserve"> by following the steps below:</w:t>
      </w:r>
      <w:bookmarkEnd w:id="188"/>
      <w:bookmarkEnd w:id="189"/>
      <w:r w:rsidR="005340EF" w:rsidRPr="006357D7">
        <w:t xml:space="preserve"> </w:t>
      </w:r>
    </w:p>
    <w:p w14:paraId="0BAE63BA" w14:textId="4FC7430D" w:rsidR="00B10A0B" w:rsidRPr="00D1673D" w:rsidRDefault="00A36EB8" w:rsidP="00B10A0B">
      <w:pPr>
        <w:jc w:val="both"/>
        <w:rPr>
          <w:szCs w:val="24"/>
        </w:rPr>
      </w:pPr>
      <w:r w:rsidRPr="00A36EB8">
        <w:rPr>
          <w:b/>
          <w:szCs w:val="24"/>
        </w:rPr>
        <w:t xml:space="preserve">Step </w:t>
      </w:r>
      <w:r w:rsidR="00B10A0B" w:rsidRPr="00A36EB8">
        <w:rPr>
          <w:b/>
          <w:szCs w:val="24"/>
        </w:rPr>
        <w:t>1</w:t>
      </w:r>
      <w:r>
        <w:rPr>
          <w:szCs w:val="24"/>
        </w:rPr>
        <w:t>:</w:t>
      </w:r>
      <w:r w:rsidR="00B10A0B">
        <w:rPr>
          <w:szCs w:val="24"/>
        </w:rPr>
        <w:t xml:space="preserve"> </w:t>
      </w:r>
      <w:r w:rsidR="005A0F50">
        <w:rPr>
          <w:b/>
          <w:szCs w:val="24"/>
        </w:rPr>
        <w:t xml:space="preserve">On the dashboard, click on the </w:t>
      </w:r>
      <w:r w:rsidR="004E3DD7">
        <w:rPr>
          <w:b/>
          <w:szCs w:val="24"/>
        </w:rPr>
        <w:t>“Start</w:t>
      </w:r>
      <w:r w:rsidR="00726FA1">
        <w:rPr>
          <w:b/>
          <w:szCs w:val="24"/>
        </w:rPr>
        <w:t xml:space="preserve"> New Submittal” tab found on the left navigation pane or “</w:t>
      </w:r>
      <w:r w:rsidR="005A0F50">
        <w:rPr>
          <w:b/>
          <w:szCs w:val="24"/>
        </w:rPr>
        <w:t>Modify Data Provider/Facility</w:t>
      </w:r>
      <w:r w:rsidR="00726FA1">
        <w:rPr>
          <w:b/>
          <w:szCs w:val="24"/>
        </w:rPr>
        <w:t>”</w:t>
      </w:r>
      <w:r w:rsidR="005A0F50">
        <w:rPr>
          <w:b/>
          <w:szCs w:val="24"/>
        </w:rPr>
        <w:t xml:space="preserve"> tab found on the right navigation pane.</w:t>
      </w:r>
      <w:r w:rsidR="00B10A0B" w:rsidRPr="00D1673D">
        <w:rPr>
          <w:szCs w:val="24"/>
        </w:rPr>
        <w:t xml:space="preserve"> </w:t>
      </w:r>
    </w:p>
    <w:p w14:paraId="3C347D16" w14:textId="3DA7A7BF" w:rsidR="00B10A0B" w:rsidRDefault="00726FA1" w:rsidP="00164DBD">
      <w:pPr>
        <w:jc w:val="center"/>
        <w:rPr>
          <w:szCs w:val="24"/>
        </w:rPr>
      </w:pPr>
      <w:r>
        <w:rPr>
          <w:noProof/>
          <w:szCs w:val="24"/>
          <w:lang w:val="en-ZA" w:eastAsia="en-ZA"/>
        </w:rPr>
        <mc:AlternateContent>
          <mc:Choice Requires="wps">
            <w:drawing>
              <wp:anchor distT="0" distB="0" distL="114300" distR="114300" simplePos="0" relativeHeight="251658250" behindDoc="0" locked="0" layoutInCell="1" allowOverlap="1" wp14:anchorId="63DB12EA" wp14:editId="018FC327">
                <wp:simplePos x="0" y="0"/>
                <wp:positionH relativeFrom="column">
                  <wp:posOffset>4257840</wp:posOffset>
                </wp:positionH>
                <wp:positionV relativeFrom="paragraph">
                  <wp:posOffset>1194131</wp:posOffset>
                </wp:positionV>
                <wp:extent cx="1407381" cy="286247"/>
                <wp:effectExtent l="0" t="0" r="21590" b="19050"/>
                <wp:wrapNone/>
                <wp:docPr id="28" name="Rectangle 28"/>
                <wp:cNvGraphicFramePr/>
                <a:graphic xmlns:a="http://schemas.openxmlformats.org/drawingml/2006/main">
                  <a:graphicData uri="http://schemas.microsoft.com/office/word/2010/wordprocessingShape">
                    <wps:wsp>
                      <wps:cNvSpPr/>
                      <wps:spPr>
                        <a:xfrm>
                          <a:off x="0" y="0"/>
                          <a:ext cx="1407381" cy="2862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91159" id="Rectangle 28" o:spid="_x0000_s1026" style="position:absolute;margin-left:335.25pt;margin-top:94.05pt;width:110.8pt;height:2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" filled="f" strokecolor="red" strokeweight="2pt"/>
            </w:pict>
          </mc:Fallback>
        </mc:AlternateContent>
      </w:r>
      <w:r>
        <w:rPr>
          <w:noProof/>
          <w:szCs w:val="24"/>
          <w:lang w:val="en-ZA" w:eastAsia="en-ZA"/>
        </w:rPr>
        <mc:AlternateContent>
          <mc:Choice Requires="wps">
            <w:drawing>
              <wp:anchor distT="0" distB="0" distL="114300" distR="114300" simplePos="0" relativeHeight="251658249" behindDoc="0" locked="0" layoutInCell="1" allowOverlap="1" wp14:anchorId="19B262F8" wp14:editId="05A5484E">
                <wp:simplePos x="0" y="0"/>
                <wp:positionH relativeFrom="column">
                  <wp:posOffset>-51766</wp:posOffset>
                </wp:positionH>
                <wp:positionV relativeFrom="paragraph">
                  <wp:posOffset>1408817</wp:posOffset>
                </wp:positionV>
                <wp:extent cx="723127" cy="238539"/>
                <wp:effectExtent l="0" t="0" r="20320" b="28575"/>
                <wp:wrapNone/>
                <wp:docPr id="27" name="Rectangle 27"/>
                <wp:cNvGraphicFramePr/>
                <a:graphic xmlns:a="http://schemas.openxmlformats.org/drawingml/2006/main">
                  <a:graphicData uri="http://schemas.microsoft.com/office/word/2010/wordprocessingShape">
                    <wps:wsp>
                      <wps:cNvSpPr/>
                      <wps:spPr>
                        <a:xfrm>
                          <a:off x="0" y="0"/>
                          <a:ext cx="723127" cy="238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168EE4" id="Rectangle 27" o:spid="_x0000_s1026" style="position:absolute;margin-left:-4.1pt;margin-top:110.95pt;width:56.95pt;height:18.8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" filled="f" strokecolor="red" strokeweight="2pt"/>
            </w:pict>
          </mc:Fallback>
        </mc:AlternateContent>
      </w:r>
      <w:r w:rsidRPr="00726FA1">
        <w:rPr>
          <w:noProof/>
          <w:szCs w:val="24"/>
          <w:lang w:val="en-ZA" w:eastAsia="en-ZA"/>
        </w:rPr>
        <w:drawing>
          <wp:inline distT="0" distB="0" distL="0" distR="0" wp14:anchorId="21F6454C" wp14:editId="6DE2E75E">
            <wp:extent cx="5693134" cy="2847598"/>
            <wp:effectExtent l="19050" t="19050" r="22225" b="10160"/>
            <wp:docPr id="179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4"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4973" cy="2853520"/>
                    </a:xfrm>
                    <a:prstGeom prst="rect">
                      <a:avLst/>
                    </a:prstGeom>
                    <a:noFill/>
                    <a:ln>
                      <a:solidFill>
                        <a:schemeClr val="tx1"/>
                      </a:solidFill>
                    </a:ln>
                  </pic:spPr>
                </pic:pic>
              </a:graphicData>
            </a:graphic>
          </wp:inline>
        </w:drawing>
      </w:r>
    </w:p>
    <w:p w14:paraId="44AF7668" w14:textId="2CFA45C5" w:rsidR="00B10A0B" w:rsidRPr="00A36EB8" w:rsidRDefault="00A36EB8" w:rsidP="00B10A0B">
      <w:pPr>
        <w:jc w:val="both"/>
        <w:rPr>
          <w:b/>
          <w:szCs w:val="24"/>
        </w:rPr>
      </w:pPr>
      <w:r w:rsidRPr="00A36EB8">
        <w:rPr>
          <w:b/>
          <w:szCs w:val="24"/>
        </w:rPr>
        <w:t xml:space="preserve">Step </w:t>
      </w:r>
      <w:r w:rsidR="00B10A0B" w:rsidRPr="00A36EB8">
        <w:rPr>
          <w:b/>
          <w:szCs w:val="24"/>
        </w:rPr>
        <w:t>2</w:t>
      </w:r>
      <w:r w:rsidRPr="00A36EB8">
        <w:rPr>
          <w:b/>
          <w:szCs w:val="24"/>
        </w:rPr>
        <w:t>:</w:t>
      </w:r>
      <w:r w:rsidR="00B10A0B" w:rsidRPr="00A36EB8">
        <w:rPr>
          <w:b/>
          <w:szCs w:val="24"/>
        </w:rPr>
        <w:t xml:space="preserve"> Prepare and Submit Modify Data Provider/Facility Form </w:t>
      </w:r>
    </w:p>
    <w:p w14:paraId="206AACDC" w14:textId="77777777" w:rsidR="007A2FDB" w:rsidRPr="005E7D7D" w:rsidRDefault="00B10A0B" w:rsidP="00B10A0B">
      <w:pPr>
        <w:jc w:val="both"/>
        <w:rPr>
          <w:b/>
          <w:color w:val="006600"/>
          <w:szCs w:val="24"/>
        </w:rPr>
      </w:pPr>
      <w:r w:rsidRPr="005E7D7D">
        <w:rPr>
          <w:b/>
          <w:color w:val="006600"/>
          <w:szCs w:val="24"/>
        </w:rPr>
        <w:t>Step</w:t>
      </w:r>
      <w:r w:rsidR="0065085E" w:rsidRPr="005E7D7D">
        <w:rPr>
          <w:b/>
          <w:color w:val="006600"/>
          <w:szCs w:val="24"/>
        </w:rPr>
        <w:t xml:space="preserve"> 2.</w:t>
      </w:r>
      <w:r w:rsidRPr="005E7D7D">
        <w:rPr>
          <w:b/>
          <w:color w:val="006600"/>
          <w:szCs w:val="24"/>
        </w:rPr>
        <w:t xml:space="preserve">1: Pick associated data provider </w:t>
      </w:r>
    </w:p>
    <w:p w14:paraId="03D7383D" w14:textId="736CDFA0" w:rsidR="00892669" w:rsidRDefault="00B10A0B" w:rsidP="00B10A0B">
      <w:pPr>
        <w:jc w:val="both"/>
        <w:rPr>
          <w:szCs w:val="24"/>
        </w:rPr>
      </w:pPr>
      <w:r w:rsidRPr="00530FE6">
        <w:rPr>
          <w:szCs w:val="24"/>
        </w:rPr>
        <w:t xml:space="preserve">Public users need to select the data provider which they </w:t>
      </w:r>
      <w:r w:rsidR="007B7496">
        <w:rPr>
          <w:szCs w:val="24"/>
        </w:rPr>
        <w:t>want</w:t>
      </w:r>
      <w:r w:rsidRPr="00530FE6">
        <w:rPr>
          <w:szCs w:val="24"/>
        </w:rPr>
        <w:t xml:space="preserve"> to modify from </w:t>
      </w:r>
      <w:r w:rsidR="007B7496">
        <w:rPr>
          <w:szCs w:val="24"/>
        </w:rPr>
        <w:t xml:space="preserve">the </w:t>
      </w:r>
      <w:r w:rsidRPr="00530FE6">
        <w:rPr>
          <w:szCs w:val="24"/>
        </w:rPr>
        <w:t>Data Provider dropdown field. In this field</w:t>
      </w:r>
      <w:r w:rsidR="007B7496">
        <w:rPr>
          <w:szCs w:val="24"/>
        </w:rPr>
        <w:t>, the</w:t>
      </w:r>
      <w:r w:rsidRPr="00530FE6">
        <w:rPr>
          <w:szCs w:val="24"/>
        </w:rPr>
        <w:t xml:space="preserve"> system will display active data provider records which are registered under </w:t>
      </w:r>
      <w:r w:rsidR="007B7496">
        <w:rPr>
          <w:szCs w:val="24"/>
        </w:rPr>
        <w:t xml:space="preserve">the </w:t>
      </w:r>
      <w:r w:rsidRPr="00530FE6">
        <w:rPr>
          <w:szCs w:val="24"/>
        </w:rPr>
        <w:t>current public user</w:t>
      </w:r>
      <w:r w:rsidR="007B7496">
        <w:rPr>
          <w:szCs w:val="24"/>
        </w:rPr>
        <w:t>’</w:t>
      </w:r>
      <w:r w:rsidRPr="00530FE6">
        <w:rPr>
          <w:szCs w:val="24"/>
        </w:rPr>
        <w:t xml:space="preserve">s account with SAGERS. After selecting </w:t>
      </w:r>
      <w:r w:rsidR="00356FF1">
        <w:rPr>
          <w:szCs w:val="24"/>
        </w:rPr>
        <w:t xml:space="preserve">the relevant </w:t>
      </w:r>
      <w:r w:rsidR="00356FF1" w:rsidRPr="00530FE6">
        <w:rPr>
          <w:szCs w:val="24"/>
        </w:rPr>
        <w:t>data</w:t>
      </w:r>
      <w:r w:rsidRPr="00530FE6">
        <w:rPr>
          <w:szCs w:val="24"/>
        </w:rPr>
        <w:t xml:space="preserve"> provider, </w:t>
      </w:r>
      <w:r w:rsidR="007B7496">
        <w:rPr>
          <w:szCs w:val="24"/>
        </w:rPr>
        <w:t xml:space="preserve">the </w:t>
      </w:r>
      <w:r w:rsidRPr="00530FE6">
        <w:rPr>
          <w:szCs w:val="24"/>
        </w:rPr>
        <w:t xml:space="preserve">system will automatically populate </w:t>
      </w:r>
      <w:r w:rsidR="00356FF1">
        <w:rPr>
          <w:szCs w:val="24"/>
        </w:rPr>
        <w:t xml:space="preserve">the </w:t>
      </w:r>
      <w:r w:rsidRPr="00530FE6">
        <w:rPr>
          <w:szCs w:val="24"/>
        </w:rPr>
        <w:t>current</w:t>
      </w:r>
      <w:r w:rsidR="00356FF1">
        <w:rPr>
          <w:szCs w:val="24"/>
        </w:rPr>
        <w:t>ly</w:t>
      </w:r>
      <w:r w:rsidRPr="00530FE6">
        <w:rPr>
          <w:szCs w:val="24"/>
        </w:rPr>
        <w:t xml:space="preserve"> approved registration information of this data provider. </w:t>
      </w:r>
    </w:p>
    <w:p w14:paraId="4CF5B820" w14:textId="09EEA42F" w:rsidR="002277E0" w:rsidRPr="00C674E9" w:rsidRDefault="00B219EC" w:rsidP="00B10A0B">
      <w:pPr>
        <w:jc w:val="both"/>
        <w:rPr>
          <w:szCs w:val="24"/>
        </w:rPr>
      </w:pPr>
      <w:r w:rsidRPr="00B219EC">
        <w:rPr>
          <w:noProof/>
          <w:szCs w:val="24"/>
          <w:lang w:val="en-ZA" w:eastAsia="en-ZA"/>
        </w:rPr>
        <w:drawing>
          <wp:inline distT="0" distB="0" distL="0" distR="0" wp14:anchorId="695E2F3C" wp14:editId="3E71A689">
            <wp:extent cx="5661329" cy="2796832"/>
            <wp:effectExtent l="19050" t="19050" r="15875" b="22860"/>
            <wp:docPr id="181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3"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4608" cy="2808332"/>
                    </a:xfrm>
                    <a:prstGeom prst="rect">
                      <a:avLst/>
                    </a:prstGeom>
                    <a:noFill/>
                    <a:ln w="22225">
                      <a:solidFill>
                        <a:schemeClr val="tx1"/>
                      </a:solidFill>
                      <a:miter lim="800000"/>
                      <a:headEnd/>
                      <a:tailEnd/>
                    </a:ln>
                  </pic:spPr>
                </pic:pic>
              </a:graphicData>
            </a:graphic>
          </wp:inline>
        </w:drawing>
      </w:r>
    </w:p>
    <w:p w14:paraId="4FFF6A1B" w14:textId="77777777" w:rsidR="007A2FDB" w:rsidRPr="00D17BCE" w:rsidRDefault="00B10A0B" w:rsidP="00B10A0B">
      <w:pPr>
        <w:jc w:val="both"/>
        <w:rPr>
          <w:b/>
          <w:color w:val="006600"/>
          <w:szCs w:val="24"/>
        </w:rPr>
      </w:pPr>
      <w:r w:rsidRPr="00D17BCE">
        <w:rPr>
          <w:b/>
          <w:color w:val="006600"/>
          <w:szCs w:val="24"/>
        </w:rPr>
        <w:t>Step 2</w:t>
      </w:r>
      <w:r w:rsidR="006D71C3" w:rsidRPr="00D17BCE">
        <w:rPr>
          <w:b/>
          <w:color w:val="006600"/>
          <w:szCs w:val="24"/>
        </w:rPr>
        <w:t xml:space="preserve">.2: </w:t>
      </w:r>
      <w:r w:rsidRPr="00D17BCE">
        <w:rPr>
          <w:b/>
          <w:color w:val="006600"/>
          <w:szCs w:val="24"/>
        </w:rPr>
        <w:t xml:space="preserve">Modify Registration Information </w:t>
      </w:r>
    </w:p>
    <w:p w14:paraId="32CBF995" w14:textId="17F9848D" w:rsidR="00892669" w:rsidRDefault="002277E0" w:rsidP="00B10A0B">
      <w:pPr>
        <w:jc w:val="both"/>
        <w:rPr>
          <w:szCs w:val="24"/>
        </w:rPr>
      </w:pPr>
      <w:r>
        <w:rPr>
          <w:szCs w:val="24"/>
        </w:rPr>
        <w:t xml:space="preserve">The public user is then able to </w:t>
      </w:r>
      <w:r w:rsidR="00B10A0B" w:rsidRPr="00530FE6">
        <w:rPr>
          <w:szCs w:val="24"/>
        </w:rPr>
        <w:t xml:space="preserve">directly update the attested information of </w:t>
      </w:r>
      <w:r w:rsidR="007F3660">
        <w:rPr>
          <w:szCs w:val="24"/>
        </w:rPr>
        <w:t xml:space="preserve">the </w:t>
      </w:r>
      <w:r w:rsidR="00B10A0B" w:rsidRPr="00530FE6">
        <w:rPr>
          <w:szCs w:val="24"/>
        </w:rPr>
        <w:t xml:space="preserve">data provider based on populated records.  </w:t>
      </w:r>
    </w:p>
    <w:p w14:paraId="5004962E" w14:textId="550BE7DA" w:rsidR="00D17BCE" w:rsidRDefault="00B36744" w:rsidP="00B10A0B">
      <w:pPr>
        <w:jc w:val="both"/>
        <w:rPr>
          <w:szCs w:val="24"/>
        </w:rPr>
      </w:pPr>
      <w:r>
        <w:rPr>
          <w:noProof/>
          <w:szCs w:val="24"/>
          <w:lang w:val="en-ZA" w:eastAsia="en-ZA"/>
        </w:rPr>
        <mc:AlternateContent>
          <mc:Choice Requires="wps">
            <w:drawing>
              <wp:anchor distT="0" distB="0" distL="114300" distR="114300" simplePos="0" relativeHeight="251658276" behindDoc="0" locked="0" layoutInCell="1" allowOverlap="1" wp14:anchorId="44CA870A" wp14:editId="56D1798F">
                <wp:simplePos x="0" y="0"/>
                <wp:positionH relativeFrom="column">
                  <wp:posOffset>43649</wp:posOffset>
                </wp:positionH>
                <wp:positionV relativeFrom="paragraph">
                  <wp:posOffset>135421</wp:posOffset>
                </wp:positionV>
                <wp:extent cx="1152939" cy="190831"/>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152939" cy="1908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D0A57" id="Rectangle 9" o:spid="_x0000_s1026" style="position:absolute;margin-left:3.45pt;margin-top:10.65pt;width:90.8pt;height:15.0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" filled="f" strokecolor="red" strokeweight="2pt"/>
            </w:pict>
          </mc:Fallback>
        </mc:AlternateContent>
      </w:r>
      <w:r w:rsidR="00D17BCE" w:rsidRPr="00D17BCE">
        <w:rPr>
          <w:noProof/>
          <w:szCs w:val="24"/>
          <w:lang w:val="en-ZA" w:eastAsia="en-ZA"/>
        </w:rPr>
        <w:drawing>
          <wp:inline distT="0" distB="0" distL="0" distR="0" wp14:anchorId="4AD380B7" wp14:editId="08CB5421">
            <wp:extent cx="5260824" cy="3505200"/>
            <wp:effectExtent l="19050" t="19050" r="16510" b="19050"/>
            <wp:docPr id="183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1" name="Picture 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4949" cy="3527937"/>
                    </a:xfrm>
                    <a:prstGeom prst="rect">
                      <a:avLst/>
                    </a:prstGeom>
                    <a:noFill/>
                    <a:ln w="9525">
                      <a:solidFill>
                        <a:schemeClr val="tx1"/>
                      </a:solidFill>
                      <a:miter lim="800000"/>
                      <a:headEnd/>
                      <a:tailEnd/>
                    </a:ln>
                  </pic:spPr>
                </pic:pic>
              </a:graphicData>
            </a:graphic>
          </wp:inline>
        </w:drawing>
      </w:r>
    </w:p>
    <w:p w14:paraId="4E7FEB18" w14:textId="38B3CDFA" w:rsidR="002277E0" w:rsidRDefault="002277E0" w:rsidP="00B10A0B">
      <w:pPr>
        <w:jc w:val="both"/>
        <w:rPr>
          <w:szCs w:val="24"/>
        </w:rPr>
      </w:pPr>
      <w:r>
        <w:rPr>
          <w:szCs w:val="24"/>
        </w:rPr>
        <w:t xml:space="preserve">Under the “Facility Modification” tab, public users may add or link a facility </w:t>
      </w:r>
    </w:p>
    <w:p w14:paraId="4CE0CCEA" w14:textId="1259CC0C" w:rsidR="003E0635" w:rsidRDefault="00E0676A" w:rsidP="00FF6C1D">
      <w:pPr>
        <w:jc w:val="both"/>
        <w:rPr>
          <w:color w:val="006600"/>
          <w:szCs w:val="24"/>
        </w:rPr>
      </w:pPr>
      <w:r>
        <w:rPr>
          <w:noProof/>
          <w:color w:val="006600"/>
          <w:szCs w:val="24"/>
          <w:lang w:val="en-ZA" w:eastAsia="en-ZA"/>
        </w:rPr>
        <mc:AlternateContent>
          <mc:Choice Requires="wps">
            <w:drawing>
              <wp:anchor distT="0" distB="0" distL="114300" distR="114300" simplePos="0" relativeHeight="251658258" behindDoc="0" locked="0" layoutInCell="1" allowOverlap="1" wp14:anchorId="00DA7BF0" wp14:editId="73382F29">
                <wp:simplePos x="0" y="0"/>
                <wp:positionH relativeFrom="column">
                  <wp:posOffset>87630</wp:posOffset>
                </wp:positionH>
                <wp:positionV relativeFrom="paragraph">
                  <wp:posOffset>970004</wp:posOffset>
                </wp:positionV>
                <wp:extent cx="1009650" cy="3905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00965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4BB93" id="Rectangle 3" o:spid="_x0000_s1026" style="position:absolute;margin-left:6.9pt;margin-top:76.4pt;width:79.5pt;height:30.7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" filled="f" strokecolor="red" strokeweight="2pt"/>
            </w:pict>
          </mc:Fallback>
        </mc:AlternateContent>
      </w:r>
      <w:r w:rsidR="00AD188D" w:rsidRPr="00AD188D">
        <w:rPr>
          <w:noProof/>
          <w:color w:val="006600"/>
          <w:szCs w:val="24"/>
          <w:lang w:val="en-ZA" w:eastAsia="en-ZA"/>
        </w:rPr>
        <w:drawing>
          <wp:inline distT="0" distB="0" distL="0" distR="0" wp14:anchorId="08AC270E" wp14:editId="73A843A5">
            <wp:extent cx="5747995" cy="1781092"/>
            <wp:effectExtent l="19050" t="19050" r="24765" b="10160"/>
            <wp:docPr id="1853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3" name="Picture 1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6644" cy="1796167"/>
                    </a:xfrm>
                    <a:prstGeom prst="rect">
                      <a:avLst/>
                    </a:prstGeom>
                    <a:noFill/>
                    <a:ln>
                      <a:solidFill>
                        <a:schemeClr val="tx1"/>
                      </a:solidFill>
                    </a:ln>
                  </pic:spPr>
                </pic:pic>
              </a:graphicData>
            </a:graphic>
          </wp:inline>
        </w:drawing>
      </w:r>
    </w:p>
    <w:p w14:paraId="64F1BF3E" w14:textId="3848760A" w:rsidR="002277E0" w:rsidRPr="004E3DD7" w:rsidRDefault="002277E0" w:rsidP="004E3DD7">
      <w:pPr>
        <w:jc w:val="both"/>
        <w:rPr>
          <w:szCs w:val="24"/>
        </w:rPr>
      </w:pPr>
      <w:r w:rsidRPr="008B7F6B">
        <w:rPr>
          <w:szCs w:val="24"/>
        </w:rPr>
        <w:t xml:space="preserve">Once the above step has been </w:t>
      </w:r>
      <w:r w:rsidR="00B36744" w:rsidRPr="008B7F6B">
        <w:rPr>
          <w:szCs w:val="24"/>
        </w:rPr>
        <w:t>completed</w:t>
      </w:r>
      <w:r w:rsidR="008B7F6B" w:rsidRPr="008B7F6B">
        <w:rPr>
          <w:szCs w:val="24"/>
        </w:rPr>
        <w:t xml:space="preserve"> the data provider may edit the current information captured for the data provider</w:t>
      </w:r>
      <w:r w:rsidR="008B7F6B">
        <w:rPr>
          <w:szCs w:val="24"/>
        </w:rPr>
        <w:t xml:space="preserve"> such as </w:t>
      </w:r>
      <w:proofErr w:type="gramStart"/>
      <w:r w:rsidR="008B7F6B">
        <w:rPr>
          <w:szCs w:val="24"/>
        </w:rPr>
        <w:t xml:space="preserve">the </w:t>
      </w:r>
      <w:r w:rsidR="004E3DD7">
        <w:rPr>
          <w:szCs w:val="24"/>
        </w:rPr>
        <w:t>a</w:t>
      </w:r>
      <w:r w:rsidR="004E3DD7" w:rsidRPr="004E3DD7">
        <w:rPr>
          <w:szCs w:val="24"/>
        </w:rPr>
        <w:t>nd</w:t>
      </w:r>
      <w:proofErr w:type="gramEnd"/>
      <w:r w:rsidR="004E3DD7" w:rsidRPr="004E3DD7">
        <w:rPr>
          <w:szCs w:val="24"/>
        </w:rPr>
        <w:t xml:space="preserve"> activity information for any of the facilities.</w:t>
      </w:r>
    </w:p>
    <w:p w14:paraId="767CD5EE" w14:textId="47EC2E9F" w:rsidR="002277E0" w:rsidRPr="00F7034F" w:rsidRDefault="008B7F6B" w:rsidP="00F7034F">
      <w:pPr>
        <w:jc w:val="center"/>
        <w:rPr>
          <w:color w:val="006600"/>
          <w:szCs w:val="24"/>
        </w:rPr>
      </w:pPr>
      <w:r>
        <w:rPr>
          <w:noProof/>
          <w:color w:val="006600"/>
          <w:szCs w:val="24"/>
          <w:lang w:val="en-ZA" w:eastAsia="en-ZA"/>
        </w:rPr>
        <mc:AlternateContent>
          <mc:Choice Requires="wps">
            <w:drawing>
              <wp:anchor distT="0" distB="0" distL="114300" distR="114300" simplePos="0" relativeHeight="251658277" behindDoc="0" locked="0" layoutInCell="1" allowOverlap="1" wp14:anchorId="09B3896E" wp14:editId="302FC13C">
                <wp:simplePos x="0" y="0"/>
                <wp:positionH relativeFrom="column">
                  <wp:posOffset>106956</wp:posOffset>
                </wp:positionH>
                <wp:positionV relativeFrom="paragraph">
                  <wp:posOffset>1272843</wp:posOffset>
                </wp:positionV>
                <wp:extent cx="5645426" cy="1836752"/>
                <wp:effectExtent l="0" t="0" r="12700" b="11430"/>
                <wp:wrapNone/>
                <wp:docPr id="10" name="Rectangle 10"/>
                <wp:cNvGraphicFramePr/>
                <a:graphic xmlns:a="http://schemas.openxmlformats.org/drawingml/2006/main">
                  <a:graphicData uri="http://schemas.microsoft.com/office/word/2010/wordprocessingShape">
                    <wps:wsp>
                      <wps:cNvSpPr/>
                      <wps:spPr>
                        <a:xfrm>
                          <a:off x="0" y="0"/>
                          <a:ext cx="5645426" cy="18367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A8569" id="Rectangle 10" o:spid="_x0000_s1026" style="position:absolute;margin-left:8.4pt;margin-top:100.2pt;width:444.5pt;height:144.65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" filled="f" strokecolor="red" strokeweight="2pt"/>
            </w:pict>
          </mc:Fallback>
        </mc:AlternateContent>
      </w:r>
      <w:r w:rsidR="00B36744" w:rsidRPr="00B36744">
        <w:rPr>
          <w:noProof/>
          <w:color w:val="006600"/>
          <w:szCs w:val="24"/>
          <w:lang w:val="en-ZA" w:eastAsia="en-ZA"/>
        </w:rPr>
        <w:drawing>
          <wp:inline distT="0" distB="0" distL="0" distR="0" wp14:anchorId="64714500" wp14:editId="4967EFFD">
            <wp:extent cx="5790565" cy="3147990"/>
            <wp:effectExtent l="19050" t="19050" r="19685" b="14605"/>
            <wp:docPr id="187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7"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l="2542" t="7043"/>
                    <a:stretch/>
                  </pic:blipFill>
                  <pic:spPr bwMode="auto">
                    <a:xfrm>
                      <a:off x="0" y="0"/>
                      <a:ext cx="5806384" cy="3156590"/>
                    </a:xfrm>
                    <a:prstGeom prst="rect">
                      <a:avLst/>
                    </a:prstGeom>
                    <a:noFill/>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27F8C8" w14:textId="2BFE6037" w:rsidR="002277E0" w:rsidRDefault="00A86054" w:rsidP="008B7F6B">
      <w:pPr>
        <w:jc w:val="center"/>
        <w:rPr>
          <w:b/>
          <w:color w:val="006600"/>
          <w:szCs w:val="24"/>
        </w:rPr>
      </w:pPr>
      <w:r>
        <w:rPr>
          <w:noProof/>
          <w:color w:val="006600"/>
          <w:szCs w:val="24"/>
          <w:lang w:val="en-ZA" w:eastAsia="en-ZA"/>
        </w:rPr>
        <mc:AlternateContent>
          <mc:Choice Requires="wps">
            <w:drawing>
              <wp:anchor distT="0" distB="0" distL="114300" distR="114300" simplePos="0" relativeHeight="251658278" behindDoc="0" locked="0" layoutInCell="1" allowOverlap="1" wp14:anchorId="58BDF13A" wp14:editId="1E842427">
                <wp:simplePos x="0" y="0"/>
                <wp:positionH relativeFrom="column">
                  <wp:posOffset>51601</wp:posOffset>
                </wp:positionH>
                <wp:positionV relativeFrom="paragraph">
                  <wp:posOffset>48205</wp:posOffset>
                </wp:positionV>
                <wp:extent cx="5724939" cy="2449002"/>
                <wp:effectExtent l="0" t="0" r="28575" b="27940"/>
                <wp:wrapNone/>
                <wp:docPr id="12" name="Rectangle 12"/>
                <wp:cNvGraphicFramePr/>
                <a:graphic xmlns:a="http://schemas.openxmlformats.org/drawingml/2006/main">
                  <a:graphicData uri="http://schemas.microsoft.com/office/word/2010/wordprocessingShape">
                    <wps:wsp>
                      <wps:cNvSpPr/>
                      <wps:spPr>
                        <a:xfrm>
                          <a:off x="0" y="0"/>
                          <a:ext cx="5724939" cy="24490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B74C3" id="Rectangle 12" o:spid="_x0000_s1026" style="position:absolute;margin-left:4.05pt;margin-top:3.8pt;width:450.8pt;height:192.8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" filled="f" strokecolor="red" strokeweight="2pt"/>
            </w:pict>
          </mc:Fallback>
        </mc:AlternateContent>
      </w:r>
      <w:r w:rsidR="008B7F6B" w:rsidRPr="008B7F6B">
        <w:rPr>
          <w:b/>
          <w:noProof/>
          <w:color w:val="006600"/>
          <w:szCs w:val="24"/>
          <w:lang w:val="en-ZA" w:eastAsia="en-ZA"/>
        </w:rPr>
        <w:drawing>
          <wp:inline distT="0" distB="0" distL="0" distR="0" wp14:anchorId="0D69AB14" wp14:editId="2A84E905">
            <wp:extent cx="5793515" cy="2750986"/>
            <wp:effectExtent l="19050" t="19050" r="17145" b="11430"/>
            <wp:docPr id="189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5"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1815" t="4156" r="1716" b="17125"/>
                    <a:stretch/>
                  </pic:blipFill>
                  <pic:spPr bwMode="auto">
                    <a:xfrm>
                      <a:off x="0" y="0"/>
                      <a:ext cx="5844659" cy="27752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40C9BC4" w14:textId="542C4D21" w:rsidR="00C313F6" w:rsidRPr="00C313F6" w:rsidRDefault="00294BD3" w:rsidP="00C313F6">
      <w:pPr>
        <w:jc w:val="both"/>
        <w:rPr>
          <w:szCs w:val="24"/>
        </w:rPr>
      </w:pPr>
      <w:r w:rsidRPr="00294BD3">
        <w:rPr>
          <w:b/>
          <w:szCs w:val="24"/>
        </w:rPr>
        <w:t xml:space="preserve">Step 3: Public users may then upload any relevant attachments </w:t>
      </w:r>
      <w:r>
        <w:rPr>
          <w:b/>
          <w:szCs w:val="24"/>
        </w:rPr>
        <w:t>and then</w:t>
      </w:r>
      <w:r w:rsidRPr="00294BD3">
        <w:rPr>
          <w:b/>
          <w:szCs w:val="24"/>
        </w:rPr>
        <w:t xml:space="preserve"> </w:t>
      </w:r>
      <w:r>
        <w:rPr>
          <w:b/>
          <w:szCs w:val="24"/>
        </w:rPr>
        <w:t>r</w:t>
      </w:r>
      <w:r w:rsidRPr="00294BD3">
        <w:rPr>
          <w:b/>
          <w:szCs w:val="24"/>
        </w:rPr>
        <w:t xml:space="preserve">eview the </w:t>
      </w:r>
      <w:r>
        <w:rPr>
          <w:b/>
          <w:szCs w:val="24"/>
        </w:rPr>
        <w:t>f</w:t>
      </w:r>
      <w:r w:rsidRPr="00294BD3">
        <w:rPr>
          <w:b/>
          <w:szCs w:val="24"/>
        </w:rPr>
        <w:t>orm and submit.</w:t>
      </w:r>
      <w:r w:rsidR="00C313F6" w:rsidRPr="00C313F6">
        <w:t xml:space="preserve"> </w:t>
      </w:r>
      <w:r w:rsidR="00C313F6" w:rsidRPr="00C313F6">
        <w:rPr>
          <w:szCs w:val="24"/>
        </w:rPr>
        <w:t>Please note that evidence should be provided for the addition or removal of facilities or activiti</w:t>
      </w:r>
      <w:r w:rsidR="00C313F6">
        <w:rPr>
          <w:szCs w:val="24"/>
        </w:rPr>
        <w:t>es conducted at the facilities.</w:t>
      </w:r>
    </w:p>
    <w:p w14:paraId="43B87CC7" w14:textId="10C89B9E" w:rsidR="00294BD3" w:rsidRPr="00294BD3" w:rsidRDefault="00294BD3" w:rsidP="00FF6C1D">
      <w:pPr>
        <w:jc w:val="both"/>
        <w:rPr>
          <w:b/>
          <w:szCs w:val="24"/>
        </w:rPr>
      </w:pPr>
    </w:p>
    <w:p w14:paraId="3EBF4D7A" w14:textId="59E1A780" w:rsidR="00A87862" w:rsidRDefault="00524CFE" w:rsidP="00C674E9">
      <w:pPr>
        <w:pStyle w:val="Heading2"/>
      </w:pPr>
      <w:bookmarkStart w:id="190" w:name="_Toc55221238"/>
      <w:bookmarkStart w:id="191" w:name="_Toc55222210"/>
      <w:bookmarkStart w:id="192" w:name="_Toc55817244"/>
      <w:bookmarkStart w:id="193" w:name="_Toc55896604"/>
      <w:bookmarkStart w:id="194" w:name="_Toc55221239"/>
      <w:bookmarkStart w:id="195" w:name="_Toc55222211"/>
      <w:bookmarkStart w:id="196" w:name="_Toc55817245"/>
      <w:bookmarkStart w:id="197" w:name="_Toc55896605"/>
      <w:bookmarkStart w:id="198" w:name="_Toc55221240"/>
      <w:bookmarkStart w:id="199" w:name="_Toc55222212"/>
      <w:bookmarkStart w:id="200" w:name="_Toc55817246"/>
      <w:bookmarkStart w:id="201" w:name="_Toc55896606"/>
      <w:bookmarkEnd w:id="190"/>
      <w:bookmarkEnd w:id="191"/>
      <w:bookmarkEnd w:id="192"/>
      <w:bookmarkEnd w:id="193"/>
      <w:bookmarkEnd w:id="194"/>
      <w:bookmarkEnd w:id="195"/>
      <w:bookmarkEnd w:id="196"/>
      <w:bookmarkEnd w:id="197"/>
      <w:bookmarkEnd w:id="198"/>
      <w:bookmarkEnd w:id="199"/>
      <w:bookmarkEnd w:id="200"/>
      <w:bookmarkEnd w:id="201"/>
      <w:r w:rsidRPr="00AB7B52">
        <w:t xml:space="preserve"> </w:t>
      </w:r>
      <w:bookmarkStart w:id="202" w:name="_Toc95209850"/>
      <w:bookmarkStart w:id="203" w:name="_Toc109812397"/>
      <w:r w:rsidR="00AB7B52" w:rsidRPr="00AB7B52">
        <w:t xml:space="preserve">I </w:t>
      </w:r>
      <w:r w:rsidRPr="00AB7B52">
        <w:t>just registered on SAGERS and</w:t>
      </w:r>
      <w:r w:rsidR="006D3803" w:rsidRPr="00AB7B52">
        <w:t xml:space="preserve"> did not receive </w:t>
      </w:r>
      <w:r w:rsidR="0076192E" w:rsidRPr="00AB7B52">
        <w:t xml:space="preserve">a </w:t>
      </w:r>
      <w:r w:rsidR="006D3803" w:rsidRPr="00AB7B52">
        <w:t>data provider ID</w:t>
      </w:r>
      <w:r w:rsidR="00A87862" w:rsidRPr="00AB7B52">
        <w:t>?</w:t>
      </w:r>
      <w:bookmarkEnd w:id="202"/>
      <w:bookmarkEnd w:id="203"/>
      <w:r w:rsidR="0076192E" w:rsidRPr="00AB7B52">
        <w:t xml:space="preserve"> </w:t>
      </w:r>
    </w:p>
    <w:p w14:paraId="0C1792A3" w14:textId="50CEB605" w:rsidR="00686C60" w:rsidRPr="00686C60" w:rsidRDefault="00686C60" w:rsidP="00686C60">
      <w:pPr>
        <w:jc w:val="both"/>
      </w:pPr>
      <w:r>
        <w:t xml:space="preserve">The data provider ID only becomes available once you have an approved data provider registration on the SAGERS Portal. The data provider ID is included with the approval letter issued on the system. </w:t>
      </w:r>
    </w:p>
    <w:p w14:paraId="1E7F3539" w14:textId="13F2BE2F" w:rsidR="003B75F3" w:rsidRPr="003B75F3" w:rsidRDefault="003B75F3" w:rsidP="00C43A9F">
      <w:pPr>
        <w:pStyle w:val="Heading2"/>
        <w:ind w:left="720" w:hanging="720"/>
        <w:jc w:val="both"/>
      </w:pPr>
      <w:bookmarkStart w:id="204" w:name="_Toc55221244"/>
      <w:bookmarkStart w:id="205" w:name="_Toc55222216"/>
      <w:bookmarkStart w:id="206" w:name="_Toc55817250"/>
      <w:bookmarkStart w:id="207" w:name="_Toc55896610"/>
      <w:bookmarkStart w:id="208" w:name="_Toc55221245"/>
      <w:bookmarkStart w:id="209" w:name="_Toc55222217"/>
      <w:bookmarkStart w:id="210" w:name="_Toc55817251"/>
      <w:bookmarkStart w:id="211" w:name="_Toc55896611"/>
      <w:bookmarkStart w:id="212" w:name="_Toc55221246"/>
      <w:bookmarkStart w:id="213" w:name="_Toc55222218"/>
      <w:bookmarkStart w:id="214" w:name="_Toc55817252"/>
      <w:bookmarkStart w:id="215" w:name="_Toc55896612"/>
      <w:bookmarkStart w:id="216" w:name="_Toc55221247"/>
      <w:bookmarkStart w:id="217" w:name="_Toc55222219"/>
      <w:bookmarkStart w:id="218" w:name="_Toc55817253"/>
      <w:bookmarkStart w:id="219" w:name="_Toc55896613"/>
      <w:bookmarkStart w:id="220" w:name="_Toc55221248"/>
      <w:bookmarkStart w:id="221" w:name="_Toc55222220"/>
      <w:bookmarkStart w:id="222" w:name="_Toc55817254"/>
      <w:bookmarkStart w:id="223" w:name="_Toc55896614"/>
      <w:bookmarkStart w:id="224" w:name="_Toc55221249"/>
      <w:bookmarkStart w:id="225" w:name="_Toc55222221"/>
      <w:bookmarkStart w:id="226" w:name="_Toc55817255"/>
      <w:bookmarkStart w:id="227" w:name="_Toc55896615"/>
      <w:bookmarkStart w:id="228" w:name="_Toc55221250"/>
      <w:bookmarkStart w:id="229" w:name="_Toc55222222"/>
      <w:bookmarkStart w:id="230" w:name="_Toc55817256"/>
      <w:bookmarkStart w:id="231" w:name="_Toc55896616"/>
      <w:bookmarkStart w:id="232" w:name="_Toc55221251"/>
      <w:bookmarkStart w:id="233" w:name="_Toc55222223"/>
      <w:bookmarkStart w:id="234" w:name="_Toc55817257"/>
      <w:bookmarkStart w:id="235" w:name="_Toc55896617"/>
      <w:bookmarkStart w:id="236" w:name="_Toc55221252"/>
      <w:bookmarkStart w:id="237" w:name="_Toc55222224"/>
      <w:bookmarkStart w:id="238" w:name="_Toc55817258"/>
      <w:bookmarkStart w:id="239" w:name="_Toc55896618"/>
      <w:bookmarkStart w:id="240" w:name="_Toc55221253"/>
      <w:bookmarkStart w:id="241" w:name="_Toc55222225"/>
      <w:bookmarkStart w:id="242" w:name="_Toc55817259"/>
      <w:bookmarkStart w:id="243" w:name="_Toc55896619"/>
      <w:bookmarkStart w:id="244" w:name="_Toc55221254"/>
      <w:bookmarkStart w:id="245" w:name="_Toc55222226"/>
      <w:bookmarkStart w:id="246" w:name="_Toc55817260"/>
      <w:bookmarkStart w:id="247" w:name="_Toc55896620"/>
      <w:bookmarkStart w:id="248" w:name="_Toc55221255"/>
      <w:bookmarkStart w:id="249" w:name="_Toc55222227"/>
      <w:bookmarkStart w:id="250" w:name="_Toc55817261"/>
      <w:bookmarkStart w:id="251" w:name="_Toc55896621"/>
      <w:bookmarkStart w:id="252" w:name="_Toc95209851"/>
      <w:bookmarkStart w:id="253" w:name="_Toc109812398"/>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3B75F3">
        <w:rPr>
          <w:rStyle w:val="Heading2Char"/>
          <w:b/>
        </w:rPr>
        <w:t>If a facility that has registered on SAGERS</w:t>
      </w:r>
      <w:r w:rsidR="00042880">
        <w:rPr>
          <w:rStyle w:val="Heading2Char"/>
          <w:b/>
        </w:rPr>
        <w:t>, ceases operations</w:t>
      </w:r>
      <w:r w:rsidRPr="003B75F3">
        <w:rPr>
          <w:rStyle w:val="Heading2Char"/>
          <w:b/>
        </w:rPr>
        <w:t xml:space="preserve"> what are the steps that need to be followed to de-register on the system? Are there any additional notifications that need to be made?</w:t>
      </w:r>
      <w:bookmarkEnd w:id="252"/>
      <w:bookmarkEnd w:id="253"/>
      <w:r w:rsidRPr="003B75F3">
        <w:t xml:space="preserve"> </w:t>
      </w:r>
    </w:p>
    <w:p w14:paraId="15A1783E" w14:textId="77777777" w:rsidR="00466AC7" w:rsidRDefault="003B75F3" w:rsidP="003B75F3">
      <w:pPr>
        <w:jc w:val="both"/>
        <w:rPr>
          <w:b/>
          <w:bCs/>
        </w:rPr>
      </w:pPr>
      <w:r w:rsidRPr="003B75F3">
        <w:rPr>
          <w:b/>
          <w:bCs/>
        </w:rPr>
        <w:t xml:space="preserve">Step 1: The data provider will need to log into his/her account. </w:t>
      </w:r>
    </w:p>
    <w:p w14:paraId="615895FF" w14:textId="6E8E928D" w:rsidR="003B75F3" w:rsidRPr="00466AC7" w:rsidRDefault="003B75F3" w:rsidP="003B75F3">
      <w:pPr>
        <w:jc w:val="both"/>
        <w:rPr>
          <w:bCs/>
        </w:rPr>
      </w:pPr>
      <w:r w:rsidRPr="00466AC7">
        <w:rPr>
          <w:bCs/>
        </w:rPr>
        <w:t xml:space="preserve">Once the data provider is on the dashboard, click on Deregister Data Provider on the right </w:t>
      </w:r>
      <w:r w:rsidR="00EC71BD" w:rsidRPr="00466AC7">
        <w:rPr>
          <w:bCs/>
        </w:rPr>
        <w:t>navigation pane</w:t>
      </w:r>
      <w:r w:rsidRPr="00466AC7">
        <w:rPr>
          <w:bCs/>
        </w:rPr>
        <w:t>, as shown below:</w:t>
      </w:r>
    </w:p>
    <w:p w14:paraId="6F71D847" w14:textId="7D87FC7F" w:rsidR="002762C7" w:rsidRDefault="003B75F3" w:rsidP="00E00A35">
      <w:pPr>
        <w:jc w:val="both"/>
        <w:rPr>
          <w:b/>
          <w:bCs/>
          <w:color w:val="00B050"/>
        </w:rPr>
      </w:pPr>
      <w:r>
        <w:rPr>
          <w:noProof/>
          <w:lang w:val="en-ZA" w:eastAsia="en-ZA"/>
        </w:rPr>
        <mc:AlternateContent>
          <mc:Choice Requires="wps">
            <w:drawing>
              <wp:anchor distT="0" distB="0" distL="114300" distR="114300" simplePos="0" relativeHeight="251658259" behindDoc="0" locked="0" layoutInCell="1" allowOverlap="1" wp14:anchorId="04255958" wp14:editId="4A9F32EE">
                <wp:simplePos x="0" y="0"/>
                <wp:positionH relativeFrom="column">
                  <wp:posOffset>3953776</wp:posOffset>
                </wp:positionH>
                <wp:positionV relativeFrom="paragraph">
                  <wp:posOffset>1259950</wp:posOffset>
                </wp:positionV>
                <wp:extent cx="1743075" cy="4000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743075"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A4805" id="Rectangle 7" o:spid="_x0000_s1026" style="position:absolute;margin-left:311.3pt;margin-top:99.2pt;width:137.25pt;height:31.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" filled="f" strokecolor="red" strokeweight="2pt"/>
            </w:pict>
          </mc:Fallback>
        </mc:AlternateContent>
      </w:r>
      <w:r>
        <w:rPr>
          <w:noProof/>
          <w:lang w:val="en-ZA" w:eastAsia="en-ZA"/>
        </w:rPr>
        <w:drawing>
          <wp:inline distT="0" distB="0" distL="0" distR="0" wp14:anchorId="3B847730" wp14:editId="0530B76D">
            <wp:extent cx="5735240" cy="2631881"/>
            <wp:effectExtent l="19050" t="19050" r="1841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778"/>
                    <a:stretch/>
                  </pic:blipFill>
                  <pic:spPr bwMode="auto">
                    <a:xfrm>
                      <a:off x="0" y="0"/>
                      <a:ext cx="5773266" cy="264933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55F69A" w14:textId="77777777" w:rsidR="002762C7" w:rsidRPr="002762C7" w:rsidRDefault="002762C7" w:rsidP="002762C7">
      <w:pPr>
        <w:jc w:val="both"/>
        <w:rPr>
          <w:b/>
          <w:bCs/>
        </w:rPr>
      </w:pPr>
      <w:r w:rsidRPr="002762C7">
        <w:rPr>
          <w:b/>
          <w:bCs/>
        </w:rPr>
        <w:t>Step 2: Select the Data Provider Name from the drop-down menu, fill in the company registration number and commissioning date, if these do not automatically appear below.</w:t>
      </w:r>
    </w:p>
    <w:p w14:paraId="47E6B29D" w14:textId="1E27B011" w:rsidR="00466AC7" w:rsidRDefault="002762C7" w:rsidP="002762C7">
      <w:r>
        <w:rPr>
          <w:noProof/>
          <w:lang w:val="en-ZA" w:eastAsia="en-ZA"/>
        </w:rPr>
        <w:drawing>
          <wp:inline distT="0" distB="0" distL="0" distR="0" wp14:anchorId="3A36304E" wp14:editId="75338DBC">
            <wp:extent cx="5734685" cy="2071172"/>
            <wp:effectExtent l="19050" t="19050" r="18415"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898" b="18931"/>
                    <a:stretch/>
                  </pic:blipFill>
                  <pic:spPr bwMode="auto">
                    <a:xfrm>
                      <a:off x="0" y="0"/>
                      <a:ext cx="5742852" cy="2074122"/>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AF09EB" w14:textId="77777777" w:rsidR="002762C7" w:rsidRPr="00A66BBB" w:rsidRDefault="002762C7" w:rsidP="002762C7">
      <w:pPr>
        <w:jc w:val="both"/>
        <w:rPr>
          <w:bCs/>
        </w:rPr>
      </w:pPr>
      <w:r w:rsidRPr="002762C7">
        <w:rPr>
          <w:b/>
          <w:bCs/>
        </w:rPr>
        <w:t xml:space="preserve">Step 3: Once the information under the Deregistration Information tab has been completed, the data provider can move to the Attachment tab. </w:t>
      </w:r>
      <w:r w:rsidRPr="00A66BBB">
        <w:rPr>
          <w:bCs/>
        </w:rPr>
        <w:t>Here the data provider will need to attach a letter from the accounting officer as to the reason for the company closing.</w:t>
      </w:r>
    </w:p>
    <w:p w14:paraId="1C06B161" w14:textId="1B88347D" w:rsidR="002762C7" w:rsidRDefault="00426201" w:rsidP="002762C7">
      <w:r>
        <w:rPr>
          <w:noProof/>
          <w:lang w:val="en-ZA" w:eastAsia="en-ZA"/>
        </w:rPr>
        <mc:AlternateContent>
          <mc:Choice Requires="wps">
            <w:drawing>
              <wp:anchor distT="0" distB="0" distL="114300" distR="114300" simplePos="0" relativeHeight="251658279" behindDoc="0" locked="0" layoutInCell="1" allowOverlap="1" wp14:anchorId="53524E64" wp14:editId="21801D6B">
                <wp:simplePos x="0" y="0"/>
                <wp:positionH relativeFrom="column">
                  <wp:posOffset>1212491</wp:posOffset>
                </wp:positionH>
                <wp:positionV relativeFrom="paragraph">
                  <wp:posOffset>179788</wp:posOffset>
                </wp:positionV>
                <wp:extent cx="643973" cy="198782"/>
                <wp:effectExtent l="0" t="0" r="22860" b="10795"/>
                <wp:wrapNone/>
                <wp:docPr id="179218" name="Rectangle 179218"/>
                <wp:cNvGraphicFramePr/>
                <a:graphic xmlns:a="http://schemas.openxmlformats.org/drawingml/2006/main">
                  <a:graphicData uri="http://schemas.microsoft.com/office/word/2010/wordprocessingShape">
                    <wps:wsp>
                      <wps:cNvSpPr/>
                      <wps:spPr>
                        <a:xfrm>
                          <a:off x="0" y="0"/>
                          <a:ext cx="643973" cy="1987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78BF80" id="Rectangle 179218" o:spid="_x0000_s1026" style="position:absolute;margin-left:95.45pt;margin-top:14.15pt;width:50.7pt;height:15.6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" filled="f" strokecolor="red" strokeweight="2pt"/>
            </w:pict>
          </mc:Fallback>
        </mc:AlternateContent>
      </w:r>
      <w:r w:rsidR="002762C7">
        <w:rPr>
          <w:noProof/>
          <w:lang w:val="en-ZA" w:eastAsia="en-ZA"/>
        </w:rPr>
        <w:drawing>
          <wp:inline distT="0" distB="0" distL="0" distR="0" wp14:anchorId="1AA3E27C" wp14:editId="6737879C">
            <wp:extent cx="5640689" cy="2035534"/>
            <wp:effectExtent l="19050" t="19050" r="1778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55" r="1006" b="24397"/>
                    <a:stretch/>
                  </pic:blipFill>
                  <pic:spPr bwMode="auto">
                    <a:xfrm>
                      <a:off x="0" y="0"/>
                      <a:ext cx="5642019" cy="2036014"/>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4DCC34" w14:textId="53F775A9" w:rsidR="002762C7" w:rsidRPr="002762C7" w:rsidRDefault="002762C7" w:rsidP="002762C7">
      <w:pPr>
        <w:jc w:val="both"/>
        <w:rPr>
          <w:b/>
          <w:bCs/>
        </w:rPr>
      </w:pPr>
      <w:r w:rsidRPr="002762C7">
        <w:rPr>
          <w:b/>
          <w:bCs/>
        </w:rPr>
        <w:t>Step 4: Once the letter has been attached, the data provider may review the information provide</w:t>
      </w:r>
      <w:r w:rsidR="00961DCE">
        <w:rPr>
          <w:b/>
          <w:bCs/>
        </w:rPr>
        <w:t>d</w:t>
      </w:r>
      <w:r w:rsidRPr="002762C7">
        <w:rPr>
          <w:b/>
          <w:bCs/>
        </w:rPr>
        <w:t xml:space="preserve"> and then submit the online form. You will be required to input a security question answer and pin before you can submit.</w:t>
      </w:r>
    </w:p>
    <w:p w14:paraId="4A9FAC6C" w14:textId="77777777" w:rsidR="002762C7" w:rsidRDefault="002762C7" w:rsidP="002762C7">
      <w:r>
        <w:rPr>
          <w:noProof/>
          <w:lang w:val="en-ZA" w:eastAsia="en-ZA"/>
        </w:rPr>
        <mc:AlternateContent>
          <mc:Choice Requires="wps">
            <w:drawing>
              <wp:anchor distT="0" distB="0" distL="114300" distR="114300" simplePos="0" relativeHeight="251658260" behindDoc="0" locked="0" layoutInCell="1" allowOverlap="1" wp14:anchorId="206CA396" wp14:editId="02428BD0">
                <wp:simplePos x="0" y="0"/>
                <wp:positionH relativeFrom="margin">
                  <wp:align>left</wp:align>
                </wp:positionH>
                <wp:positionV relativeFrom="paragraph">
                  <wp:posOffset>2056130</wp:posOffset>
                </wp:positionV>
                <wp:extent cx="2339975" cy="914400"/>
                <wp:effectExtent l="19050" t="19050" r="22225" b="19050"/>
                <wp:wrapNone/>
                <wp:docPr id="16" name="Rectangle 16"/>
                <wp:cNvGraphicFramePr/>
                <a:graphic xmlns:a="http://schemas.openxmlformats.org/drawingml/2006/main">
                  <a:graphicData uri="http://schemas.microsoft.com/office/word/2010/wordprocessingShape">
                    <wps:wsp>
                      <wps:cNvSpPr/>
                      <wps:spPr>
                        <a:xfrm>
                          <a:off x="0" y="0"/>
                          <a:ext cx="2339975" cy="914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1E066" id="Rectangle 16" o:spid="_x0000_s1026" style="position:absolute;margin-left:0;margin-top:161.9pt;width:184.25pt;height:1in;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" filled="f" strokecolor="red" strokeweight="2.25pt">
                <w10:wrap anchorx="margin"/>
              </v:rect>
            </w:pict>
          </mc:Fallback>
        </mc:AlternateContent>
      </w:r>
      <w:r>
        <w:rPr>
          <w:noProof/>
          <w:lang w:val="en-ZA" w:eastAsia="en-ZA"/>
        </w:rPr>
        <w:drawing>
          <wp:inline distT="0" distB="0" distL="0" distR="0" wp14:anchorId="7A2A0325" wp14:editId="74EE479B">
            <wp:extent cx="5943600" cy="2965369"/>
            <wp:effectExtent l="19050" t="19050" r="19050" b="26035"/>
            <wp:docPr id="179215" name="Picture 17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027"/>
                    <a:stretch/>
                  </pic:blipFill>
                  <pic:spPr bwMode="auto">
                    <a:xfrm>
                      <a:off x="0" y="0"/>
                      <a:ext cx="5949963" cy="2968544"/>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A69AA7" w14:textId="6710A721" w:rsidR="002762C7" w:rsidRDefault="00926D98" w:rsidP="002762C7">
      <w:r>
        <w:rPr>
          <w:noProof/>
          <w:lang w:val="en-ZA" w:eastAsia="en-ZA"/>
        </w:rPr>
        <mc:AlternateContent>
          <mc:Choice Requires="wps">
            <w:drawing>
              <wp:anchor distT="0" distB="0" distL="114300" distR="114300" simplePos="0" relativeHeight="251658275" behindDoc="0" locked="0" layoutInCell="1" allowOverlap="1" wp14:anchorId="04E88119" wp14:editId="1C102C5D">
                <wp:simplePos x="0" y="0"/>
                <wp:positionH relativeFrom="column">
                  <wp:posOffset>25041</wp:posOffset>
                </wp:positionH>
                <wp:positionV relativeFrom="paragraph">
                  <wp:posOffset>2636465</wp:posOffset>
                </wp:positionV>
                <wp:extent cx="1526876" cy="301924"/>
                <wp:effectExtent l="0" t="0" r="16510" b="22225"/>
                <wp:wrapNone/>
                <wp:docPr id="51" name="Rectangle 51"/>
                <wp:cNvGraphicFramePr/>
                <a:graphic xmlns:a="http://schemas.openxmlformats.org/drawingml/2006/main">
                  <a:graphicData uri="http://schemas.microsoft.com/office/word/2010/wordprocessingShape">
                    <wps:wsp>
                      <wps:cNvSpPr/>
                      <wps:spPr>
                        <a:xfrm>
                          <a:off x="0" y="0"/>
                          <a:ext cx="1526876" cy="3019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3E091" id="Rectangle 51" o:spid="_x0000_s1026" style="position:absolute;margin-left:1.95pt;margin-top:207.6pt;width:120.25pt;height:23.7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" filled="f" strokecolor="red" strokeweight="2pt"/>
            </w:pict>
          </mc:Fallback>
        </mc:AlternateContent>
      </w:r>
      <w:r w:rsidR="002762C7">
        <w:rPr>
          <w:noProof/>
          <w:lang w:val="en-ZA" w:eastAsia="en-ZA"/>
        </w:rPr>
        <w:drawing>
          <wp:inline distT="0" distB="0" distL="0" distR="0" wp14:anchorId="5D4D217A" wp14:editId="4188A580">
            <wp:extent cx="5763859" cy="2894275"/>
            <wp:effectExtent l="19050" t="19050" r="27940" b="20955"/>
            <wp:docPr id="179217" name="Picture 17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3258" b="1001"/>
                    <a:stretch/>
                  </pic:blipFill>
                  <pic:spPr bwMode="auto">
                    <a:xfrm>
                      <a:off x="0" y="0"/>
                      <a:ext cx="5774856" cy="2899797"/>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D2670C" w14:textId="4C6073EC" w:rsidR="00945D4E" w:rsidRDefault="006D3803" w:rsidP="00092F86">
      <w:pPr>
        <w:pStyle w:val="Heading2"/>
      </w:pPr>
      <w:bookmarkStart w:id="254" w:name="_Toc53659831"/>
      <w:bookmarkStart w:id="255" w:name="_Toc55195686"/>
      <w:bookmarkStart w:id="256" w:name="_Toc55221257"/>
      <w:bookmarkStart w:id="257" w:name="_Toc55222229"/>
      <w:bookmarkStart w:id="258" w:name="_Toc55817263"/>
      <w:bookmarkStart w:id="259" w:name="_Toc55896623"/>
      <w:bookmarkStart w:id="260" w:name="_Toc55987989"/>
      <w:bookmarkStart w:id="261" w:name="_Toc55988076"/>
      <w:bookmarkStart w:id="262" w:name="_Toc55988321"/>
      <w:bookmarkStart w:id="263" w:name="_Toc55988518"/>
      <w:bookmarkStart w:id="264" w:name="_Toc56121571"/>
      <w:bookmarkStart w:id="265" w:name="_Toc56152916"/>
      <w:bookmarkStart w:id="266" w:name="_Toc57007840"/>
      <w:bookmarkStart w:id="267" w:name="_Toc56152917"/>
      <w:bookmarkStart w:id="268" w:name="_Toc57007841"/>
      <w:bookmarkStart w:id="269" w:name="_Toc56152918"/>
      <w:bookmarkStart w:id="270" w:name="_Toc57007842"/>
      <w:bookmarkStart w:id="271" w:name="_Toc56152919"/>
      <w:bookmarkStart w:id="272" w:name="_Toc57007843"/>
      <w:bookmarkStart w:id="273" w:name="_Toc56152920"/>
      <w:bookmarkStart w:id="274" w:name="_Toc57007844"/>
      <w:bookmarkStart w:id="275" w:name="_Toc56152921"/>
      <w:bookmarkStart w:id="276" w:name="_Toc57007845"/>
      <w:bookmarkStart w:id="277" w:name="_Toc56152922"/>
      <w:bookmarkStart w:id="278" w:name="_Toc57007846"/>
      <w:bookmarkStart w:id="279" w:name="_Toc56152923"/>
      <w:bookmarkStart w:id="280" w:name="_Toc57007847"/>
      <w:bookmarkStart w:id="281" w:name="_Toc56152924"/>
      <w:bookmarkStart w:id="282" w:name="_Toc57007848"/>
      <w:bookmarkStart w:id="283" w:name="_Toc56152925"/>
      <w:bookmarkStart w:id="284" w:name="_Toc57007849"/>
      <w:bookmarkStart w:id="285" w:name="_Toc56152926"/>
      <w:bookmarkStart w:id="286" w:name="_Toc57007850"/>
      <w:bookmarkStart w:id="287" w:name="_Toc56152927"/>
      <w:bookmarkStart w:id="288" w:name="_Toc57007851"/>
      <w:bookmarkStart w:id="289" w:name="_Toc56152928"/>
      <w:bookmarkStart w:id="290" w:name="_Toc57007852"/>
      <w:bookmarkStart w:id="291" w:name="_Toc56152929"/>
      <w:bookmarkStart w:id="292" w:name="_Toc57007853"/>
      <w:bookmarkStart w:id="293" w:name="_Toc56152930"/>
      <w:bookmarkStart w:id="294" w:name="_Toc57007854"/>
      <w:bookmarkStart w:id="295" w:name="_Toc56152931"/>
      <w:bookmarkStart w:id="296" w:name="_Toc57007855"/>
      <w:bookmarkStart w:id="297" w:name="_Toc56152932"/>
      <w:bookmarkStart w:id="298" w:name="_Toc57007856"/>
      <w:bookmarkStart w:id="299" w:name="_Toc95209852"/>
      <w:bookmarkStart w:id="300" w:name="_Toc109812399"/>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AB7B52">
        <w:t>What is the different between submittal ID and Data provider ID?</w:t>
      </w:r>
      <w:bookmarkEnd w:id="299"/>
      <w:bookmarkEnd w:id="300"/>
      <w:r w:rsidRPr="00AB7B52">
        <w:t xml:space="preserve">  </w:t>
      </w:r>
    </w:p>
    <w:p w14:paraId="1A19E138" w14:textId="696FE2B2" w:rsidR="00945D4E" w:rsidRDefault="57D8B64C" w:rsidP="00843622">
      <w:pPr>
        <w:jc w:val="both"/>
      </w:pPr>
      <w:r>
        <w:t>Submittal ID:</w:t>
      </w:r>
      <w:r w:rsidR="00945D4E">
        <w:tab/>
      </w:r>
      <w:r>
        <w:t xml:space="preserve"> </w:t>
      </w:r>
      <w:r w:rsidR="00945D4E">
        <w:tab/>
      </w:r>
      <w:r>
        <w:t>is the number used to track submittals on the SAGERS</w:t>
      </w:r>
      <w:r w:rsidR="171259FE">
        <w:t>.</w:t>
      </w:r>
      <w:r>
        <w:t xml:space="preserve"> </w:t>
      </w:r>
      <w:r w:rsidR="7E9FE94E">
        <w:t>I</w:t>
      </w:r>
      <w:r>
        <w:t>n the registration process it can be used to track the status of the registration submission in SAGERS before it is approved.</w:t>
      </w:r>
    </w:p>
    <w:p w14:paraId="685E6F19" w14:textId="4B6CCF90" w:rsidR="00997844" w:rsidRDefault="57D8B64C" w:rsidP="00843622">
      <w:pPr>
        <w:jc w:val="both"/>
      </w:pPr>
      <w:r>
        <w:t>Data Provider ID:</w:t>
      </w:r>
      <w:r w:rsidR="00945D4E">
        <w:tab/>
      </w:r>
      <w:r>
        <w:t>is the reference number that is generated when the registration s</w:t>
      </w:r>
      <w:r w:rsidR="26CA352C">
        <w:t>ubmission is approved in SAGERS. T</w:t>
      </w:r>
      <w:r>
        <w:t>his number serves as a unique identifier for each data provid</w:t>
      </w:r>
      <w:r w:rsidR="749335EF">
        <w:t>er</w:t>
      </w:r>
      <w:bookmarkStart w:id="301" w:name="_Toc56152951"/>
      <w:bookmarkStart w:id="302" w:name="_Toc57007875"/>
      <w:bookmarkEnd w:id="301"/>
      <w:bookmarkEnd w:id="302"/>
    </w:p>
    <w:p w14:paraId="28639C0F" w14:textId="77777777" w:rsidR="00A66BBB" w:rsidRPr="00997844" w:rsidRDefault="00A66BBB" w:rsidP="00843622">
      <w:pPr>
        <w:jc w:val="both"/>
        <w:rPr>
          <w:rFonts w:eastAsiaTheme="majorEastAsia" w:cstheme="majorBidi"/>
          <w:b/>
          <w:bCs/>
          <w:vanish/>
          <w:color w:val="C98711"/>
          <w:sz w:val="26"/>
          <w:szCs w:val="26"/>
        </w:rPr>
      </w:pPr>
    </w:p>
    <w:p w14:paraId="6B9FB46B" w14:textId="0B634936" w:rsidR="00654D48" w:rsidRPr="00E40BFC" w:rsidRDefault="00654D48" w:rsidP="00843622">
      <w:pPr>
        <w:pStyle w:val="Heading2"/>
        <w:jc w:val="both"/>
      </w:pPr>
      <w:bookmarkStart w:id="303" w:name="_Toc109812400"/>
      <w:bookmarkStart w:id="304" w:name="_Toc95209853"/>
      <w:r w:rsidRPr="00C674E9">
        <w:t>When I do the review</w:t>
      </w:r>
      <w:r w:rsidR="00945D4E" w:rsidRPr="00C674E9">
        <w:t xml:space="preserve"> step on the SAGERS</w:t>
      </w:r>
      <w:r w:rsidRPr="00C674E9">
        <w:t xml:space="preserve"> – the data provider info is stated as missing and attachment flagged, what is required in the Attachment step?</w:t>
      </w:r>
      <w:bookmarkEnd w:id="303"/>
      <w:r w:rsidRPr="00E40BFC">
        <w:t xml:space="preserve"> </w:t>
      </w:r>
      <w:bookmarkEnd w:id="304"/>
    </w:p>
    <w:p w14:paraId="75BB53F1" w14:textId="751B3FAF" w:rsidR="004D64C1" w:rsidRDefault="004D64C1" w:rsidP="0073323E">
      <w:pPr>
        <w:spacing w:line="259" w:lineRule="auto"/>
        <w:jc w:val="both"/>
        <w:rPr>
          <w:rFonts w:eastAsia="Calibri" w:cs="Times New Roman"/>
          <w:lang w:val="en-ZA" w:eastAsia="en-US"/>
        </w:rPr>
      </w:pPr>
      <w:r>
        <w:rPr>
          <w:rFonts w:eastAsia="Calibri" w:cs="Times New Roman"/>
          <w:lang w:val="en-ZA" w:eastAsia="en-US"/>
        </w:rPr>
        <w:t xml:space="preserve">If you have </w:t>
      </w:r>
      <w:r w:rsidR="008402FA">
        <w:rPr>
          <w:rFonts w:eastAsia="Calibri" w:cs="Times New Roman"/>
          <w:lang w:val="en-ZA" w:eastAsia="en-US"/>
        </w:rPr>
        <w:t>registered</w:t>
      </w:r>
      <w:r>
        <w:rPr>
          <w:rFonts w:eastAsia="Calibri" w:cs="Times New Roman"/>
          <w:lang w:val="en-ZA" w:eastAsia="en-US"/>
        </w:rPr>
        <w:t xml:space="preserve"> a back-up generator, you will need to attach a list of all back-up generators that are owned by the data provider using the template found by following the link below: </w:t>
      </w:r>
    </w:p>
    <w:p w14:paraId="5714ED93" w14:textId="069991E8" w:rsidR="00C43A9F" w:rsidRPr="00092F86" w:rsidRDefault="00161F7F" w:rsidP="00092F86">
      <w:pPr>
        <w:pStyle w:val="CommentText"/>
        <w:spacing w:line="276" w:lineRule="auto"/>
        <w:jc w:val="both"/>
        <w:rPr>
          <w:color w:val="D25814" w:themeColor="hyperlink"/>
          <w:sz w:val="24"/>
          <w:u w:val="single"/>
        </w:rPr>
      </w:pPr>
      <w:hyperlink r:id="rId48" w:history="1">
        <w:r w:rsidR="004D64C1" w:rsidRPr="00BA61F9">
          <w:rPr>
            <w:rStyle w:val="Hyperlink"/>
            <w:sz w:val="24"/>
          </w:rPr>
          <w:t>https://ghgreportingpublic.environment.gov.za/GHGlanding/Docs/Standby%20generators.xlsx</w:t>
        </w:r>
      </w:hyperlink>
      <w:bookmarkStart w:id="305" w:name="_Toc53659845"/>
      <w:bookmarkStart w:id="306" w:name="_Toc55195700"/>
      <w:bookmarkStart w:id="307" w:name="_Toc55221276"/>
      <w:bookmarkStart w:id="308" w:name="_Toc55222248"/>
      <w:bookmarkStart w:id="309" w:name="_Toc55817282"/>
      <w:bookmarkStart w:id="310" w:name="_Toc55896642"/>
      <w:bookmarkStart w:id="311" w:name="_Toc55904997"/>
      <w:bookmarkStart w:id="312" w:name="_Toc55905107"/>
      <w:bookmarkStart w:id="313" w:name="_Toc55222249"/>
      <w:bookmarkStart w:id="314" w:name="_Toc55817283"/>
      <w:bookmarkStart w:id="315" w:name="_Toc55896643"/>
      <w:bookmarkStart w:id="316" w:name="_Toc55904998"/>
      <w:bookmarkStart w:id="317" w:name="_Toc55905108"/>
      <w:bookmarkStart w:id="318" w:name="_Toc55222250"/>
      <w:bookmarkStart w:id="319" w:name="_Toc55817284"/>
      <w:bookmarkStart w:id="320" w:name="_Toc55896644"/>
      <w:bookmarkStart w:id="321" w:name="_Toc55904999"/>
      <w:bookmarkStart w:id="322" w:name="_Toc55905109"/>
      <w:bookmarkStart w:id="323" w:name="_Toc55222251"/>
      <w:bookmarkStart w:id="324" w:name="_Toc55817285"/>
      <w:bookmarkStart w:id="325" w:name="_Toc55896645"/>
      <w:bookmarkStart w:id="326" w:name="_Toc55905000"/>
      <w:bookmarkStart w:id="327" w:name="_Toc55905110"/>
      <w:bookmarkStart w:id="328" w:name="_Toc55222252"/>
      <w:bookmarkStart w:id="329" w:name="_Toc55817286"/>
      <w:bookmarkStart w:id="330" w:name="_Toc55896646"/>
      <w:bookmarkStart w:id="331" w:name="_Toc55905001"/>
      <w:bookmarkStart w:id="332" w:name="_Toc55905111"/>
      <w:bookmarkStart w:id="333" w:name="_Toc55222253"/>
      <w:bookmarkStart w:id="334" w:name="_Toc55817287"/>
      <w:bookmarkStart w:id="335" w:name="_Toc55896647"/>
      <w:bookmarkStart w:id="336" w:name="_Toc55905002"/>
      <w:bookmarkStart w:id="337" w:name="_Toc55905112"/>
      <w:bookmarkStart w:id="338" w:name="_Toc55222254"/>
      <w:bookmarkStart w:id="339" w:name="_Toc55817288"/>
      <w:bookmarkStart w:id="340" w:name="_Toc55896648"/>
      <w:bookmarkStart w:id="341" w:name="_Toc55905003"/>
      <w:bookmarkStart w:id="342" w:name="_Toc55905113"/>
      <w:bookmarkStart w:id="343" w:name="_Toc55222255"/>
      <w:bookmarkStart w:id="344" w:name="_Toc55817289"/>
      <w:bookmarkStart w:id="345" w:name="_Toc55896649"/>
      <w:bookmarkStart w:id="346" w:name="_Toc55905004"/>
      <w:bookmarkStart w:id="347" w:name="_Toc55905114"/>
      <w:bookmarkStart w:id="348" w:name="_Toc55222256"/>
      <w:bookmarkStart w:id="349" w:name="_Toc55817290"/>
      <w:bookmarkStart w:id="350" w:name="_Toc55896650"/>
      <w:bookmarkStart w:id="351" w:name="_Toc55905005"/>
      <w:bookmarkStart w:id="352" w:name="_Toc55905115"/>
      <w:bookmarkStart w:id="353" w:name="_Toc55222257"/>
      <w:bookmarkStart w:id="354" w:name="_Toc55817291"/>
      <w:bookmarkStart w:id="355" w:name="_Toc55896651"/>
      <w:bookmarkStart w:id="356" w:name="_Toc55905006"/>
      <w:bookmarkStart w:id="357" w:name="_Toc55905116"/>
      <w:bookmarkStart w:id="358" w:name="_Toc55222258"/>
      <w:bookmarkStart w:id="359" w:name="_Toc55817292"/>
      <w:bookmarkStart w:id="360" w:name="_Toc55896652"/>
      <w:bookmarkStart w:id="361" w:name="_Toc55905007"/>
      <w:bookmarkStart w:id="362" w:name="_Toc55905117"/>
      <w:bookmarkStart w:id="363" w:name="_Toc55222259"/>
      <w:bookmarkStart w:id="364" w:name="_Toc55817293"/>
      <w:bookmarkStart w:id="365" w:name="_Toc55896653"/>
      <w:bookmarkStart w:id="366" w:name="_Toc55905008"/>
      <w:bookmarkStart w:id="367" w:name="_Toc55905118"/>
      <w:bookmarkStart w:id="368" w:name="_Toc55222260"/>
      <w:bookmarkStart w:id="369" w:name="_Toc55817294"/>
      <w:bookmarkStart w:id="370" w:name="_Toc55896654"/>
      <w:bookmarkStart w:id="371" w:name="_Toc55905009"/>
      <w:bookmarkStart w:id="372" w:name="_Toc55905119"/>
      <w:bookmarkStart w:id="373" w:name="_Toc55222261"/>
      <w:bookmarkStart w:id="374" w:name="_Toc55817295"/>
      <w:bookmarkStart w:id="375" w:name="_Toc55896655"/>
      <w:bookmarkStart w:id="376" w:name="_Toc55905010"/>
      <w:bookmarkStart w:id="377" w:name="_Toc55905120"/>
      <w:bookmarkStart w:id="378" w:name="_Toc55222262"/>
      <w:bookmarkStart w:id="379" w:name="_Toc55817296"/>
      <w:bookmarkStart w:id="380" w:name="_Toc55896656"/>
      <w:bookmarkStart w:id="381" w:name="_Toc55905011"/>
      <w:bookmarkStart w:id="382" w:name="_Toc55905121"/>
      <w:bookmarkStart w:id="383" w:name="_Toc55222263"/>
      <w:bookmarkStart w:id="384" w:name="_Toc55817297"/>
      <w:bookmarkStart w:id="385" w:name="_Toc55896657"/>
      <w:bookmarkStart w:id="386" w:name="_Toc55905012"/>
      <w:bookmarkStart w:id="387" w:name="_Toc55905122"/>
      <w:bookmarkStart w:id="388" w:name="_Toc55222264"/>
      <w:bookmarkStart w:id="389" w:name="_Toc55817298"/>
      <w:bookmarkStart w:id="390" w:name="_Toc55896658"/>
      <w:bookmarkStart w:id="391" w:name="_Toc55905013"/>
      <w:bookmarkStart w:id="392" w:name="_Toc55905123"/>
      <w:bookmarkStart w:id="393" w:name="_Toc55222265"/>
      <w:bookmarkStart w:id="394" w:name="_Toc55817299"/>
      <w:bookmarkStart w:id="395" w:name="_Toc55896659"/>
      <w:bookmarkStart w:id="396" w:name="_Toc55905014"/>
      <w:bookmarkStart w:id="397" w:name="_Toc55905124"/>
      <w:bookmarkStart w:id="398" w:name="_Toc55988024"/>
      <w:bookmarkStart w:id="399" w:name="_Toc55988111"/>
      <w:bookmarkStart w:id="400" w:name="_Toc55988356"/>
      <w:bookmarkStart w:id="401" w:name="_Toc55988553"/>
      <w:bookmarkStart w:id="402" w:name="_Toc56121606"/>
      <w:bookmarkStart w:id="403" w:name="_Toc56152953"/>
      <w:bookmarkStart w:id="404" w:name="_Toc57007877"/>
      <w:bookmarkStart w:id="405" w:name="_Toc55988025"/>
      <w:bookmarkStart w:id="406" w:name="_Toc55988112"/>
      <w:bookmarkStart w:id="407" w:name="_Toc55988357"/>
      <w:bookmarkStart w:id="408" w:name="_Toc55988554"/>
      <w:bookmarkStart w:id="409" w:name="_Toc56121607"/>
      <w:bookmarkStart w:id="410" w:name="_Toc56152954"/>
      <w:bookmarkStart w:id="411" w:name="_Toc57007878"/>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48402C0" w14:textId="546D20A4" w:rsidR="00C674E9" w:rsidRDefault="00A47BE6" w:rsidP="00C43A9F">
      <w:pPr>
        <w:pStyle w:val="Heading2"/>
      </w:pPr>
      <w:bookmarkStart w:id="412" w:name="_Toc95209854"/>
      <w:bookmarkStart w:id="413" w:name="_Toc109812401"/>
      <w:r w:rsidRPr="00AB7B52">
        <w:t xml:space="preserve">How do I access proof of </w:t>
      </w:r>
      <w:bookmarkEnd w:id="412"/>
      <w:r w:rsidR="0017277B" w:rsidRPr="00AB7B52">
        <w:t>submittal?</w:t>
      </w:r>
      <w:bookmarkEnd w:id="413"/>
      <w:r w:rsidRPr="00AB7B52">
        <w:t xml:space="preserve"> </w:t>
      </w:r>
    </w:p>
    <w:p w14:paraId="18DBD0F1" w14:textId="676A6E58" w:rsidR="00D52173" w:rsidRPr="00D52173" w:rsidRDefault="00D52173" w:rsidP="00D52173">
      <w:pPr>
        <w:rPr>
          <w:b/>
        </w:rPr>
      </w:pPr>
      <w:r>
        <w:rPr>
          <w:b/>
        </w:rPr>
        <w:t xml:space="preserve">Step 1: </w:t>
      </w:r>
      <w:r w:rsidR="004015DD">
        <w:rPr>
          <w:b/>
        </w:rPr>
        <w:t>On the dashboard, click on the “Track submittal status” tab found on the left navigation pane</w:t>
      </w:r>
    </w:p>
    <w:p w14:paraId="6833E667" w14:textId="1950CFBA" w:rsidR="00E40BFC" w:rsidRDefault="00D52173" w:rsidP="004D64C1">
      <w:pPr>
        <w:pStyle w:val="CommentText"/>
        <w:spacing w:line="276" w:lineRule="auto"/>
        <w:jc w:val="both"/>
        <w:rPr>
          <w:sz w:val="26"/>
          <w:szCs w:val="26"/>
        </w:rPr>
      </w:pPr>
      <w:r>
        <w:rPr>
          <w:noProof/>
          <w:sz w:val="26"/>
          <w:szCs w:val="26"/>
          <w:lang w:val="en-ZA" w:eastAsia="en-ZA"/>
        </w:rPr>
        <mc:AlternateContent>
          <mc:Choice Requires="wps">
            <w:drawing>
              <wp:anchor distT="0" distB="0" distL="114300" distR="114300" simplePos="0" relativeHeight="251658251" behindDoc="0" locked="0" layoutInCell="1" allowOverlap="1" wp14:anchorId="4C3DD2B5" wp14:editId="29BE21D4">
                <wp:simplePos x="0" y="0"/>
                <wp:positionH relativeFrom="column">
                  <wp:posOffset>35256</wp:posOffset>
                </wp:positionH>
                <wp:positionV relativeFrom="paragraph">
                  <wp:posOffset>1376597</wp:posOffset>
                </wp:positionV>
                <wp:extent cx="771276" cy="198479"/>
                <wp:effectExtent l="19050" t="19050" r="10160" b="11430"/>
                <wp:wrapNone/>
                <wp:docPr id="179205" name="Rectangle 179205"/>
                <wp:cNvGraphicFramePr/>
                <a:graphic xmlns:a="http://schemas.openxmlformats.org/drawingml/2006/main">
                  <a:graphicData uri="http://schemas.microsoft.com/office/word/2010/wordprocessingShape">
                    <wps:wsp>
                      <wps:cNvSpPr/>
                      <wps:spPr>
                        <a:xfrm>
                          <a:off x="0" y="0"/>
                          <a:ext cx="771276" cy="1984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593386" id="Rectangle 179205" o:spid="_x0000_s1026" style="position:absolute;margin-left:2.8pt;margin-top:108.4pt;width:60.75pt;height:15.6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" filled="f" strokecolor="red" strokeweight="2.25pt"/>
            </w:pict>
          </mc:Fallback>
        </mc:AlternateContent>
      </w:r>
      <w:r w:rsidRPr="00D52173">
        <w:rPr>
          <w:noProof/>
          <w:sz w:val="26"/>
          <w:szCs w:val="26"/>
          <w:lang w:val="en-ZA" w:eastAsia="en-ZA"/>
        </w:rPr>
        <w:drawing>
          <wp:inline distT="0" distB="0" distL="0" distR="0" wp14:anchorId="02ED62FC" wp14:editId="3C155ED9">
            <wp:extent cx="5834606" cy="2043485"/>
            <wp:effectExtent l="19050" t="19050" r="13970" b="13970"/>
            <wp:docPr id="179203" name="Picture 5">
              <a:extLst xmlns:a="http://schemas.openxmlformats.org/drawingml/2006/main">
                <a:ext uri="{FF2B5EF4-FFF2-40B4-BE49-F238E27FC236}">
                  <a16:creationId xmlns:a16="http://schemas.microsoft.com/office/drawing/2014/main" id="{2421CC70-360D-48A4-A32A-46CDB6A8A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421CC70-360D-48A4-A32A-46CDB6A8AD3B}"/>
                        </a:ext>
                      </a:extLst>
                    </pic:cNvPr>
                    <pic:cNvPicPr>
                      <a:picLocks noChangeAspect="1"/>
                    </pic:cNvPicPr>
                  </pic:nvPicPr>
                  <pic:blipFill>
                    <a:blip r:embed="rId33"/>
                    <a:stretch>
                      <a:fillRect/>
                    </a:stretch>
                  </pic:blipFill>
                  <pic:spPr>
                    <a:xfrm>
                      <a:off x="0" y="0"/>
                      <a:ext cx="5869213" cy="2055606"/>
                    </a:xfrm>
                    <a:prstGeom prst="rect">
                      <a:avLst/>
                    </a:prstGeom>
                    <a:ln>
                      <a:solidFill>
                        <a:schemeClr val="tx1"/>
                      </a:solidFill>
                    </a:ln>
                  </pic:spPr>
                </pic:pic>
              </a:graphicData>
            </a:graphic>
          </wp:inline>
        </w:drawing>
      </w:r>
    </w:p>
    <w:p w14:paraId="10B0BA0C" w14:textId="3B3680F1" w:rsidR="00E75A57" w:rsidRPr="00E75A57" w:rsidRDefault="00E75A57" w:rsidP="004D64C1">
      <w:pPr>
        <w:pStyle w:val="CommentText"/>
        <w:spacing w:line="276" w:lineRule="auto"/>
        <w:jc w:val="both"/>
        <w:rPr>
          <w:b/>
          <w:sz w:val="24"/>
          <w:szCs w:val="26"/>
        </w:rPr>
      </w:pPr>
      <w:r w:rsidRPr="00E75A57">
        <w:rPr>
          <w:b/>
          <w:sz w:val="24"/>
          <w:szCs w:val="26"/>
        </w:rPr>
        <w:t xml:space="preserve">Step 2: </w:t>
      </w:r>
      <w:r w:rsidR="00B51285">
        <w:rPr>
          <w:b/>
          <w:sz w:val="24"/>
          <w:szCs w:val="26"/>
        </w:rPr>
        <w:t xml:space="preserve">Once the page opens, click on the </w:t>
      </w:r>
      <w:r w:rsidR="009B16AF">
        <w:rPr>
          <w:b/>
          <w:sz w:val="24"/>
          <w:szCs w:val="26"/>
        </w:rPr>
        <w:t xml:space="preserve">blue button on the right of the facility you require the summary report </w:t>
      </w:r>
    </w:p>
    <w:p w14:paraId="225FE02E" w14:textId="7318B55B" w:rsidR="009B16AF" w:rsidRPr="00046B7D" w:rsidRDefault="004B2148" w:rsidP="004D64C1">
      <w:pPr>
        <w:pStyle w:val="CommentText"/>
        <w:spacing w:line="276" w:lineRule="auto"/>
        <w:jc w:val="both"/>
        <w:rPr>
          <w:sz w:val="26"/>
          <w:szCs w:val="26"/>
        </w:rPr>
      </w:pPr>
      <w:r>
        <w:rPr>
          <w:noProof/>
          <w:sz w:val="26"/>
          <w:szCs w:val="26"/>
          <w:lang w:val="en-ZA" w:eastAsia="en-ZA"/>
        </w:rPr>
        <mc:AlternateContent>
          <mc:Choice Requires="wps">
            <w:drawing>
              <wp:anchor distT="0" distB="0" distL="114300" distR="114300" simplePos="0" relativeHeight="251658252" behindDoc="0" locked="0" layoutInCell="1" allowOverlap="1" wp14:anchorId="74CAC510" wp14:editId="086AC22C">
                <wp:simplePos x="0" y="0"/>
                <wp:positionH relativeFrom="column">
                  <wp:posOffset>5497748</wp:posOffset>
                </wp:positionH>
                <wp:positionV relativeFrom="paragraph">
                  <wp:posOffset>314932</wp:posOffset>
                </wp:positionV>
                <wp:extent cx="174652" cy="190556"/>
                <wp:effectExtent l="0" t="0" r="15875" b="19050"/>
                <wp:wrapNone/>
                <wp:docPr id="179207" name="Rectangle 179207"/>
                <wp:cNvGraphicFramePr/>
                <a:graphic xmlns:a="http://schemas.openxmlformats.org/drawingml/2006/main">
                  <a:graphicData uri="http://schemas.microsoft.com/office/word/2010/wordprocessingShape">
                    <wps:wsp>
                      <wps:cNvSpPr/>
                      <wps:spPr>
                        <a:xfrm>
                          <a:off x="0" y="0"/>
                          <a:ext cx="174652" cy="1905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E84B7" id="Rectangle 179207" o:spid="_x0000_s1026" style="position:absolute;margin-left:432.9pt;margin-top:24.8pt;width:13.75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" filled="f" strokecolor="red" strokeweight="2pt"/>
            </w:pict>
          </mc:Fallback>
        </mc:AlternateContent>
      </w:r>
      <w:r w:rsidRPr="004B2148">
        <w:rPr>
          <w:noProof/>
          <w:sz w:val="26"/>
          <w:szCs w:val="26"/>
          <w:lang w:val="en-ZA" w:eastAsia="en-ZA"/>
        </w:rPr>
        <w:drawing>
          <wp:inline distT="0" distB="0" distL="0" distR="0" wp14:anchorId="7A43649E" wp14:editId="102E592B">
            <wp:extent cx="5868063" cy="1869590"/>
            <wp:effectExtent l="19050" t="19050" r="18415" b="16510"/>
            <wp:docPr id="179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25515" cy="1887894"/>
                    </a:xfrm>
                    <a:prstGeom prst="rect">
                      <a:avLst/>
                    </a:prstGeom>
                    <a:ln>
                      <a:solidFill>
                        <a:schemeClr val="tx1"/>
                      </a:solidFill>
                    </a:ln>
                  </pic:spPr>
                </pic:pic>
              </a:graphicData>
            </a:graphic>
          </wp:inline>
        </w:drawing>
      </w:r>
    </w:p>
    <w:p w14:paraId="47DA37EA" w14:textId="1C57B286" w:rsidR="00E75A57" w:rsidRPr="002861D0" w:rsidRDefault="002861D0" w:rsidP="004D64C1">
      <w:pPr>
        <w:pStyle w:val="CommentText"/>
        <w:spacing w:line="276" w:lineRule="auto"/>
        <w:jc w:val="both"/>
        <w:rPr>
          <w:b/>
          <w:sz w:val="24"/>
          <w:szCs w:val="26"/>
        </w:rPr>
      </w:pPr>
      <w:r>
        <w:rPr>
          <w:b/>
          <w:sz w:val="24"/>
          <w:szCs w:val="26"/>
        </w:rPr>
        <w:t>Step 3</w:t>
      </w:r>
      <w:r w:rsidRPr="00E75A57">
        <w:rPr>
          <w:b/>
          <w:sz w:val="24"/>
          <w:szCs w:val="26"/>
        </w:rPr>
        <w:t xml:space="preserve">: </w:t>
      </w:r>
      <w:r w:rsidR="009B16AF">
        <w:rPr>
          <w:b/>
          <w:sz w:val="24"/>
          <w:szCs w:val="26"/>
        </w:rPr>
        <w:t>Once the report opens up, click on the “Receipt” tab. A pdf appears, which you can down</w:t>
      </w:r>
      <w:r w:rsidR="00961DCE">
        <w:rPr>
          <w:b/>
          <w:sz w:val="24"/>
          <w:szCs w:val="26"/>
        </w:rPr>
        <w:t>load</w:t>
      </w:r>
      <w:r w:rsidR="009B16AF">
        <w:rPr>
          <w:b/>
          <w:sz w:val="24"/>
          <w:szCs w:val="26"/>
        </w:rPr>
        <w:t xml:space="preserve"> and save.</w:t>
      </w:r>
    </w:p>
    <w:p w14:paraId="199FECF8" w14:textId="35990E0A" w:rsidR="00E75A57" w:rsidRDefault="002861D0" w:rsidP="004D64C1">
      <w:pPr>
        <w:pStyle w:val="CommentText"/>
        <w:spacing w:line="276" w:lineRule="auto"/>
        <w:jc w:val="both"/>
        <w:rPr>
          <w:sz w:val="26"/>
          <w:szCs w:val="26"/>
        </w:rPr>
      </w:pPr>
      <w:r>
        <w:rPr>
          <w:noProof/>
          <w:sz w:val="26"/>
          <w:szCs w:val="26"/>
          <w:lang w:val="en-ZA" w:eastAsia="en-ZA"/>
        </w:rPr>
        <mc:AlternateContent>
          <mc:Choice Requires="wps">
            <w:drawing>
              <wp:anchor distT="0" distB="0" distL="114300" distR="114300" simplePos="0" relativeHeight="251658253" behindDoc="0" locked="0" layoutInCell="1" allowOverlap="1" wp14:anchorId="4BBC7192" wp14:editId="13BAE627">
                <wp:simplePos x="0" y="0"/>
                <wp:positionH relativeFrom="column">
                  <wp:posOffset>2842012</wp:posOffset>
                </wp:positionH>
                <wp:positionV relativeFrom="paragraph">
                  <wp:posOffset>262559</wp:posOffset>
                </wp:positionV>
                <wp:extent cx="381663" cy="135172"/>
                <wp:effectExtent l="0" t="0" r="18415" b="17780"/>
                <wp:wrapNone/>
                <wp:docPr id="179209" name="Rectangle 179209"/>
                <wp:cNvGraphicFramePr/>
                <a:graphic xmlns:a="http://schemas.openxmlformats.org/drawingml/2006/main">
                  <a:graphicData uri="http://schemas.microsoft.com/office/word/2010/wordprocessingShape">
                    <wps:wsp>
                      <wps:cNvSpPr/>
                      <wps:spPr>
                        <a:xfrm>
                          <a:off x="0" y="0"/>
                          <a:ext cx="381663"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3D9FA" id="Rectangle 179209" o:spid="_x0000_s1026" style="position:absolute;margin-left:223.8pt;margin-top:20.65pt;width:30.05pt;height:10.6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" filled="f" strokecolor="red" strokeweight="2pt"/>
            </w:pict>
          </mc:Fallback>
        </mc:AlternateContent>
      </w:r>
      <w:r w:rsidRPr="002861D0">
        <w:rPr>
          <w:noProof/>
          <w:sz w:val="26"/>
          <w:szCs w:val="26"/>
          <w:lang w:val="en-ZA" w:eastAsia="en-ZA"/>
        </w:rPr>
        <w:drawing>
          <wp:inline distT="0" distB="0" distL="0" distR="0" wp14:anchorId="377335AA" wp14:editId="5A3B109A">
            <wp:extent cx="5885988" cy="2099144"/>
            <wp:effectExtent l="19050" t="19050" r="19685" b="15875"/>
            <wp:docPr id="179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5585" cy="2116832"/>
                    </a:xfrm>
                    <a:prstGeom prst="rect">
                      <a:avLst/>
                    </a:prstGeom>
                    <a:ln>
                      <a:solidFill>
                        <a:schemeClr val="tx1"/>
                      </a:solidFill>
                    </a:ln>
                  </pic:spPr>
                </pic:pic>
              </a:graphicData>
            </a:graphic>
          </wp:inline>
        </w:drawing>
      </w:r>
    </w:p>
    <w:p w14:paraId="15F262EA" w14:textId="77777777" w:rsidR="00046B7D" w:rsidRDefault="00046B7D" w:rsidP="002E5094">
      <w:pPr>
        <w:pStyle w:val="CommentText"/>
        <w:spacing w:line="276" w:lineRule="auto"/>
        <w:jc w:val="both"/>
        <w:rPr>
          <w:b/>
          <w:sz w:val="24"/>
          <w:szCs w:val="26"/>
        </w:rPr>
      </w:pPr>
    </w:p>
    <w:p w14:paraId="041C2257" w14:textId="77777777" w:rsidR="00296093" w:rsidRDefault="00296093" w:rsidP="002E5094">
      <w:pPr>
        <w:pStyle w:val="CommentText"/>
        <w:spacing w:line="276" w:lineRule="auto"/>
        <w:jc w:val="both"/>
        <w:rPr>
          <w:b/>
          <w:sz w:val="24"/>
          <w:szCs w:val="26"/>
        </w:rPr>
      </w:pPr>
    </w:p>
    <w:p w14:paraId="76E26A01" w14:textId="75DAD902" w:rsidR="002E5094" w:rsidRDefault="002E5094" w:rsidP="002E5094">
      <w:pPr>
        <w:pStyle w:val="CommentText"/>
        <w:spacing w:line="276" w:lineRule="auto"/>
        <w:jc w:val="both"/>
        <w:rPr>
          <w:b/>
          <w:sz w:val="24"/>
          <w:szCs w:val="26"/>
        </w:rPr>
      </w:pPr>
      <w:r>
        <w:rPr>
          <w:b/>
          <w:sz w:val="24"/>
          <w:szCs w:val="26"/>
        </w:rPr>
        <w:t>Step 4</w:t>
      </w:r>
      <w:r w:rsidRPr="00E75A57">
        <w:rPr>
          <w:b/>
          <w:sz w:val="24"/>
          <w:szCs w:val="26"/>
        </w:rPr>
        <w:t xml:space="preserve">: </w:t>
      </w:r>
      <w:r w:rsidR="009B16AF">
        <w:rPr>
          <w:b/>
          <w:sz w:val="24"/>
          <w:szCs w:val="26"/>
        </w:rPr>
        <w:t>Below is an example of the “Submittal Receipt”</w:t>
      </w:r>
    </w:p>
    <w:p w14:paraId="465E119D" w14:textId="0BFF21BB" w:rsidR="00296093" w:rsidRPr="00296093" w:rsidRDefault="00296093" w:rsidP="002E5094">
      <w:pPr>
        <w:pStyle w:val="CommentText"/>
        <w:spacing w:line="276" w:lineRule="auto"/>
        <w:jc w:val="both"/>
        <w:rPr>
          <w:sz w:val="24"/>
          <w:szCs w:val="26"/>
        </w:rPr>
      </w:pPr>
      <w:r w:rsidRPr="00296093">
        <w:rPr>
          <w:sz w:val="24"/>
          <w:szCs w:val="26"/>
        </w:rPr>
        <w:t>You may download and save the submittal receipt for your records</w:t>
      </w:r>
      <w:r w:rsidR="006F7DA0">
        <w:rPr>
          <w:sz w:val="24"/>
          <w:szCs w:val="26"/>
        </w:rPr>
        <w:t>.</w:t>
      </w:r>
    </w:p>
    <w:p w14:paraId="3472B7B6" w14:textId="6E68346F" w:rsidR="002E5094" w:rsidRDefault="002E5094" w:rsidP="002E5094">
      <w:pPr>
        <w:pStyle w:val="CommentText"/>
        <w:spacing w:line="276" w:lineRule="auto"/>
        <w:jc w:val="center"/>
        <w:rPr>
          <w:b/>
          <w:sz w:val="24"/>
          <w:szCs w:val="26"/>
        </w:rPr>
      </w:pPr>
      <w:r>
        <w:rPr>
          <w:b/>
          <w:noProof/>
          <w:sz w:val="24"/>
          <w:szCs w:val="26"/>
          <w:lang w:val="en-ZA" w:eastAsia="en-ZA"/>
        </w:rPr>
        <mc:AlternateContent>
          <mc:Choice Requires="wps">
            <w:drawing>
              <wp:anchor distT="0" distB="0" distL="114300" distR="114300" simplePos="0" relativeHeight="251658254" behindDoc="0" locked="0" layoutInCell="1" allowOverlap="1" wp14:anchorId="26D01023" wp14:editId="1E797F43">
                <wp:simplePos x="0" y="0"/>
                <wp:positionH relativeFrom="column">
                  <wp:posOffset>2792730</wp:posOffset>
                </wp:positionH>
                <wp:positionV relativeFrom="paragraph">
                  <wp:posOffset>103505</wp:posOffset>
                </wp:positionV>
                <wp:extent cx="1327868" cy="381663"/>
                <wp:effectExtent l="0" t="0" r="24765" b="18415"/>
                <wp:wrapNone/>
                <wp:docPr id="179210" name="Rectangle 179210"/>
                <wp:cNvGraphicFramePr/>
                <a:graphic xmlns:a="http://schemas.openxmlformats.org/drawingml/2006/main">
                  <a:graphicData uri="http://schemas.microsoft.com/office/word/2010/wordprocessingShape">
                    <wps:wsp>
                      <wps:cNvSpPr/>
                      <wps:spPr>
                        <a:xfrm>
                          <a:off x="0" y="0"/>
                          <a:ext cx="1327868" cy="3816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7AB9F" id="Rectangle 179210" o:spid="_x0000_s1026" style="position:absolute;margin-left:219.9pt;margin-top:8.15pt;width:104.55pt;height:30.0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" filled="f" strokecolor="red" strokeweight="2pt"/>
            </w:pict>
          </mc:Fallback>
        </mc:AlternateContent>
      </w:r>
      <w:r w:rsidRPr="002E5094">
        <w:rPr>
          <w:b/>
          <w:noProof/>
          <w:sz w:val="24"/>
          <w:szCs w:val="26"/>
          <w:lang w:val="en-ZA" w:eastAsia="en-ZA"/>
        </w:rPr>
        <w:drawing>
          <wp:inline distT="0" distB="0" distL="0" distR="0" wp14:anchorId="76722A1B" wp14:editId="33D3C428">
            <wp:extent cx="3040341" cy="4248150"/>
            <wp:effectExtent l="19050" t="19050" r="27305" b="190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1"/>
                    <a:stretch>
                      <a:fillRect/>
                    </a:stretch>
                  </pic:blipFill>
                  <pic:spPr>
                    <a:xfrm>
                      <a:off x="0" y="0"/>
                      <a:ext cx="3053372" cy="4266357"/>
                    </a:xfrm>
                    <a:prstGeom prst="rect">
                      <a:avLst/>
                    </a:prstGeom>
                    <a:ln>
                      <a:solidFill>
                        <a:schemeClr val="tx1"/>
                      </a:solidFill>
                    </a:ln>
                  </pic:spPr>
                </pic:pic>
              </a:graphicData>
            </a:graphic>
          </wp:inline>
        </w:drawing>
      </w:r>
    </w:p>
    <w:p w14:paraId="2EB08AA6" w14:textId="2B19B2E8" w:rsidR="00945D4E" w:rsidRDefault="00945D4E">
      <w:pPr>
        <w:spacing w:after="200" w:line="276" w:lineRule="auto"/>
        <w:rPr>
          <w:b/>
          <w:szCs w:val="26"/>
        </w:rPr>
      </w:pPr>
      <w:r>
        <w:rPr>
          <w:b/>
          <w:szCs w:val="26"/>
        </w:rPr>
        <w:br w:type="page"/>
      </w:r>
    </w:p>
    <w:p w14:paraId="13F12582" w14:textId="77777777" w:rsidR="00945D4E" w:rsidRDefault="00945D4E" w:rsidP="002E5094">
      <w:pPr>
        <w:pStyle w:val="CommentText"/>
        <w:spacing w:line="276" w:lineRule="auto"/>
        <w:jc w:val="center"/>
        <w:rPr>
          <w:b/>
          <w:sz w:val="24"/>
          <w:szCs w:val="26"/>
        </w:rPr>
      </w:pPr>
    </w:p>
    <w:p w14:paraId="3F330202" w14:textId="0BD5AD5E" w:rsidR="00945D4E" w:rsidRPr="002861D0" w:rsidRDefault="00945D4E" w:rsidP="00C674E9">
      <w:pPr>
        <w:pStyle w:val="Heading2"/>
      </w:pPr>
      <w:bookmarkStart w:id="414" w:name="_Toc95209855"/>
      <w:bookmarkStart w:id="415" w:name="_Toc109812402"/>
      <w:r w:rsidRPr="00945D4E">
        <w:t xml:space="preserve">How do I access </w:t>
      </w:r>
      <w:r>
        <w:t xml:space="preserve">GHG Reporting/ Registration </w:t>
      </w:r>
      <w:r w:rsidRPr="00945D4E">
        <w:t xml:space="preserve">Acceptance </w:t>
      </w:r>
      <w:bookmarkEnd w:id="414"/>
      <w:r w:rsidR="00A165A8" w:rsidRPr="00945D4E">
        <w:t>letters?</w:t>
      </w:r>
      <w:bookmarkEnd w:id="415"/>
    </w:p>
    <w:p w14:paraId="03B4BCAC" w14:textId="5E45A62B" w:rsidR="004E680A" w:rsidRDefault="004E680A" w:rsidP="0047588D">
      <w:pPr>
        <w:rPr>
          <w:b/>
        </w:rPr>
      </w:pPr>
      <w:r>
        <w:rPr>
          <w:b/>
        </w:rPr>
        <w:t>Step 1:</w:t>
      </w:r>
      <w:r w:rsidR="00350852" w:rsidRPr="00350852">
        <w:rPr>
          <w:b/>
        </w:rPr>
        <w:t xml:space="preserve"> </w:t>
      </w:r>
      <w:r w:rsidR="00350852">
        <w:rPr>
          <w:b/>
        </w:rPr>
        <w:t>On the dashboard, click on the “Track submittal status” tab found on the left navigation pane</w:t>
      </w:r>
    </w:p>
    <w:p w14:paraId="057361BA" w14:textId="52A7FCB2" w:rsidR="004E680A" w:rsidRDefault="004E680A" w:rsidP="0047588D">
      <w:pPr>
        <w:rPr>
          <w:b/>
        </w:rPr>
      </w:pPr>
      <w:r>
        <w:rPr>
          <w:noProof/>
          <w:sz w:val="26"/>
          <w:szCs w:val="26"/>
          <w:lang w:val="en-ZA" w:eastAsia="en-ZA"/>
        </w:rPr>
        <mc:AlternateContent>
          <mc:Choice Requires="wps">
            <w:drawing>
              <wp:anchor distT="0" distB="0" distL="114300" distR="114300" simplePos="0" relativeHeight="251658255" behindDoc="0" locked="0" layoutInCell="1" allowOverlap="1" wp14:anchorId="119619C6" wp14:editId="12E637BC">
                <wp:simplePos x="0" y="0"/>
                <wp:positionH relativeFrom="margin">
                  <wp:align>left</wp:align>
                </wp:positionH>
                <wp:positionV relativeFrom="paragraph">
                  <wp:posOffset>1396862</wp:posOffset>
                </wp:positionV>
                <wp:extent cx="771276" cy="198479"/>
                <wp:effectExtent l="19050" t="19050" r="10160" b="11430"/>
                <wp:wrapNone/>
                <wp:docPr id="179212" name="Rectangle 179212"/>
                <wp:cNvGraphicFramePr/>
                <a:graphic xmlns:a="http://schemas.openxmlformats.org/drawingml/2006/main">
                  <a:graphicData uri="http://schemas.microsoft.com/office/word/2010/wordprocessingShape">
                    <wps:wsp>
                      <wps:cNvSpPr/>
                      <wps:spPr>
                        <a:xfrm>
                          <a:off x="0" y="0"/>
                          <a:ext cx="771276" cy="1984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8273E2" id="Rectangle 179212" o:spid="_x0000_s1026" style="position:absolute;margin-left:0;margin-top:110pt;width:60.75pt;height:15.65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" filled="f" strokecolor="red" strokeweight="2.25pt">
                <w10:wrap anchorx="margin"/>
              </v:rect>
            </w:pict>
          </mc:Fallback>
        </mc:AlternateContent>
      </w:r>
      <w:r w:rsidRPr="00D52173">
        <w:rPr>
          <w:noProof/>
          <w:sz w:val="26"/>
          <w:szCs w:val="26"/>
          <w:lang w:val="en-ZA" w:eastAsia="en-ZA"/>
        </w:rPr>
        <w:drawing>
          <wp:inline distT="0" distB="0" distL="0" distR="0" wp14:anchorId="512EAC6C" wp14:editId="186660D7">
            <wp:extent cx="5971032" cy="2091194"/>
            <wp:effectExtent l="19050" t="19050" r="10795" b="23495"/>
            <wp:docPr id="179211" name="Picture 5">
              <a:extLst xmlns:a="http://schemas.openxmlformats.org/drawingml/2006/main">
                <a:ext uri="{FF2B5EF4-FFF2-40B4-BE49-F238E27FC236}">
                  <a16:creationId xmlns:a16="http://schemas.microsoft.com/office/drawing/2014/main" id="{2421CC70-360D-48A4-A32A-46CDB6A8A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421CC70-360D-48A4-A32A-46CDB6A8AD3B}"/>
                        </a:ext>
                      </a:extLst>
                    </pic:cNvPr>
                    <pic:cNvPicPr>
                      <a:picLocks noChangeAspect="1"/>
                    </pic:cNvPicPr>
                  </pic:nvPicPr>
                  <pic:blipFill>
                    <a:blip r:embed="rId33"/>
                    <a:stretch>
                      <a:fillRect/>
                    </a:stretch>
                  </pic:blipFill>
                  <pic:spPr>
                    <a:xfrm>
                      <a:off x="0" y="0"/>
                      <a:ext cx="5988839" cy="2097430"/>
                    </a:xfrm>
                    <a:prstGeom prst="rect">
                      <a:avLst/>
                    </a:prstGeom>
                    <a:ln>
                      <a:solidFill>
                        <a:schemeClr val="tx1"/>
                      </a:solidFill>
                    </a:ln>
                  </pic:spPr>
                </pic:pic>
              </a:graphicData>
            </a:graphic>
          </wp:inline>
        </w:drawing>
      </w:r>
    </w:p>
    <w:p w14:paraId="09B8110F" w14:textId="1D0B2B60" w:rsidR="00B43807" w:rsidRDefault="00B43807" w:rsidP="00B43807">
      <w:pPr>
        <w:rPr>
          <w:b/>
        </w:rPr>
      </w:pPr>
      <w:r>
        <w:rPr>
          <w:b/>
        </w:rPr>
        <w:t>Step 2:</w:t>
      </w:r>
      <w:r w:rsidR="005D6F55" w:rsidRPr="005D6F55">
        <w:t xml:space="preserve"> </w:t>
      </w:r>
      <w:r w:rsidR="005D6F55" w:rsidRPr="005D6F55">
        <w:rPr>
          <w:b/>
        </w:rPr>
        <w:t xml:space="preserve">Once the page opens, click on the </w:t>
      </w:r>
      <w:r w:rsidR="005D6F55">
        <w:rPr>
          <w:b/>
        </w:rPr>
        <w:t>orange</w:t>
      </w:r>
      <w:r w:rsidR="005D6F55" w:rsidRPr="005D6F55">
        <w:rPr>
          <w:b/>
        </w:rPr>
        <w:t xml:space="preserve"> button on the right of the facility you require the summary report</w:t>
      </w:r>
    </w:p>
    <w:p w14:paraId="00E1D26B" w14:textId="1960DCB5" w:rsidR="00B43807" w:rsidRDefault="00B43807" w:rsidP="00B43807">
      <w:pPr>
        <w:rPr>
          <w:b/>
        </w:rPr>
      </w:pPr>
      <w:r>
        <w:rPr>
          <w:b/>
          <w:noProof/>
          <w:lang w:val="en-ZA" w:eastAsia="en-ZA"/>
        </w:rPr>
        <mc:AlternateContent>
          <mc:Choice Requires="wps">
            <w:drawing>
              <wp:anchor distT="0" distB="0" distL="114300" distR="114300" simplePos="0" relativeHeight="251658256" behindDoc="0" locked="0" layoutInCell="1" allowOverlap="1" wp14:anchorId="33FFB989" wp14:editId="527BAF1B">
                <wp:simplePos x="0" y="0"/>
                <wp:positionH relativeFrom="column">
                  <wp:posOffset>5768340</wp:posOffset>
                </wp:positionH>
                <wp:positionV relativeFrom="paragraph">
                  <wp:posOffset>343259</wp:posOffset>
                </wp:positionV>
                <wp:extent cx="190832" cy="159026"/>
                <wp:effectExtent l="0" t="0" r="19050" b="12700"/>
                <wp:wrapNone/>
                <wp:docPr id="179213" name="Rectangle 179213"/>
                <wp:cNvGraphicFramePr/>
                <a:graphic xmlns:a="http://schemas.openxmlformats.org/drawingml/2006/main">
                  <a:graphicData uri="http://schemas.microsoft.com/office/word/2010/wordprocessingShape">
                    <wps:wsp>
                      <wps:cNvSpPr/>
                      <wps:spPr>
                        <a:xfrm>
                          <a:off x="0" y="0"/>
                          <a:ext cx="190832" cy="159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23C9DC" id="Rectangle 179213" o:spid="_x0000_s1026" style="position:absolute;margin-left:454.2pt;margin-top:27.05pt;width:15.05pt;height:12.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" filled="f" strokecolor="red" strokeweight="2pt"/>
            </w:pict>
          </mc:Fallback>
        </mc:AlternateContent>
      </w:r>
      <w:r w:rsidRPr="00B43807">
        <w:rPr>
          <w:b/>
          <w:noProof/>
          <w:lang w:val="en-ZA" w:eastAsia="en-ZA"/>
        </w:rPr>
        <w:drawing>
          <wp:inline distT="0" distB="0" distL="0" distR="0" wp14:anchorId="45447A5D" wp14:editId="1CC6453B">
            <wp:extent cx="6014557" cy="1916264"/>
            <wp:effectExtent l="19050" t="19050" r="24765" b="2730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6031852" cy="1921774"/>
                    </a:xfrm>
                    <a:prstGeom prst="rect">
                      <a:avLst/>
                    </a:prstGeom>
                    <a:noFill/>
                    <a:ln>
                      <a:solidFill>
                        <a:schemeClr val="tx1"/>
                      </a:solidFill>
                    </a:ln>
                  </pic:spPr>
                </pic:pic>
              </a:graphicData>
            </a:graphic>
          </wp:inline>
        </w:drawing>
      </w:r>
    </w:p>
    <w:p w14:paraId="0EC9726B" w14:textId="59971E06" w:rsidR="00046B7D" w:rsidRDefault="00B43807" w:rsidP="00AE2E13">
      <w:pPr>
        <w:pStyle w:val="CommentText"/>
        <w:spacing w:line="276" w:lineRule="auto"/>
        <w:jc w:val="both"/>
        <w:rPr>
          <w:b/>
          <w:sz w:val="24"/>
          <w:szCs w:val="26"/>
        </w:rPr>
      </w:pPr>
      <w:r w:rsidRPr="00B43807">
        <w:rPr>
          <w:b/>
          <w:sz w:val="26"/>
          <w:szCs w:val="26"/>
        </w:rPr>
        <w:t xml:space="preserve">Step 3: </w:t>
      </w:r>
      <w:r w:rsidR="00AE2E13">
        <w:rPr>
          <w:b/>
          <w:sz w:val="24"/>
          <w:szCs w:val="26"/>
        </w:rPr>
        <w:t>Once the report opens up, click on the “Issuance” tab. A pdf appears, which you can down</w:t>
      </w:r>
      <w:r w:rsidR="004A707E">
        <w:rPr>
          <w:b/>
          <w:sz w:val="24"/>
          <w:szCs w:val="26"/>
        </w:rPr>
        <w:t>load</w:t>
      </w:r>
      <w:r w:rsidR="00AE2E13">
        <w:rPr>
          <w:b/>
          <w:sz w:val="24"/>
          <w:szCs w:val="26"/>
        </w:rPr>
        <w:t xml:space="preserve"> and save. </w:t>
      </w:r>
    </w:p>
    <w:p w14:paraId="56A92FE9" w14:textId="12E0966E" w:rsidR="00E75A57" w:rsidRPr="00C43A9F" w:rsidRDefault="00D77EC6" w:rsidP="004D64C1">
      <w:pPr>
        <w:pStyle w:val="CommentText"/>
        <w:spacing w:line="276" w:lineRule="auto"/>
        <w:jc w:val="both"/>
        <w:rPr>
          <w:sz w:val="24"/>
          <w:szCs w:val="26"/>
        </w:rPr>
      </w:pPr>
      <w:r w:rsidRPr="00046B7D">
        <w:rPr>
          <w:sz w:val="24"/>
          <w:szCs w:val="26"/>
        </w:rPr>
        <w:t xml:space="preserve">Note: </w:t>
      </w:r>
      <w:r w:rsidR="00AE2E13" w:rsidRPr="00046B7D">
        <w:rPr>
          <w:sz w:val="24"/>
          <w:szCs w:val="26"/>
        </w:rPr>
        <w:t>Th</w:t>
      </w:r>
      <w:r w:rsidRPr="00046B7D">
        <w:rPr>
          <w:sz w:val="24"/>
          <w:szCs w:val="26"/>
        </w:rPr>
        <w:t>e</w:t>
      </w:r>
      <w:r w:rsidR="00AE2E13" w:rsidRPr="00046B7D">
        <w:rPr>
          <w:sz w:val="24"/>
          <w:szCs w:val="26"/>
        </w:rPr>
        <w:t xml:space="preserve"> issuance letter will only be available once your report has been approved.</w:t>
      </w:r>
    </w:p>
    <w:p w14:paraId="2011A09E" w14:textId="28683723" w:rsidR="00D3287A" w:rsidRDefault="00C43A9F" w:rsidP="004D64C1">
      <w:pPr>
        <w:pStyle w:val="CommentText"/>
        <w:spacing w:line="276" w:lineRule="auto"/>
        <w:jc w:val="both"/>
        <w:rPr>
          <w:b/>
          <w:sz w:val="26"/>
          <w:szCs w:val="26"/>
        </w:rPr>
      </w:pPr>
      <w:r>
        <w:rPr>
          <w:b/>
          <w:noProof/>
          <w:sz w:val="26"/>
          <w:szCs w:val="26"/>
          <w:lang w:val="en-ZA" w:eastAsia="en-ZA"/>
        </w:rPr>
        <mc:AlternateContent>
          <mc:Choice Requires="wps">
            <w:drawing>
              <wp:anchor distT="0" distB="0" distL="114300" distR="114300" simplePos="0" relativeHeight="251658257" behindDoc="0" locked="0" layoutInCell="1" allowOverlap="1" wp14:anchorId="292E85A7" wp14:editId="6AB32B47">
                <wp:simplePos x="0" y="0"/>
                <wp:positionH relativeFrom="column">
                  <wp:posOffset>230505</wp:posOffset>
                </wp:positionH>
                <wp:positionV relativeFrom="paragraph">
                  <wp:posOffset>1515745</wp:posOffset>
                </wp:positionV>
                <wp:extent cx="421419" cy="174929"/>
                <wp:effectExtent l="0" t="0" r="17145" b="15875"/>
                <wp:wrapNone/>
                <wp:docPr id="179216" name="Rectangle 179216"/>
                <wp:cNvGraphicFramePr/>
                <a:graphic xmlns:a="http://schemas.openxmlformats.org/drawingml/2006/main">
                  <a:graphicData uri="http://schemas.microsoft.com/office/word/2010/wordprocessingShape">
                    <wps:wsp>
                      <wps:cNvSpPr/>
                      <wps:spPr>
                        <a:xfrm>
                          <a:off x="0" y="0"/>
                          <a:ext cx="421419" cy="1749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6A057" id="Rectangle 179216" o:spid="_x0000_s1026" style="position:absolute;margin-left:18.15pt;margin-top:119.35pt;width:33.2pt;height:13.7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" filled="f" strokecolor="red" strokeweight="2pt"/>
            </w:pict>
          </mc:Fallback>
        </mc:AlternateContent>
      </w:r>
      <w:r w:rsidR="00AE241F">
        <w:rPr>
          <w:noProof/>
          <w:lang w:val="en-ZA" w:eastAsia="en-ZA"/>
        </w:rPr>
        <w:drawing>
          <wp:inline distT="0" distB="0" distL="0" distR="0" wp14:anchorId="047AA7B4" wp14:editId="7F191E7D">
            <wp:extent cx="5988050" cy="2406650"/>
            <wp:effectExtent l="57150" t="57150" r="107950" b="107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89035" cy="240704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0B69FA" w14:textId="3BDB0D2F" w:rsidR="00AE241F" w:rsidRDefault="00AE241F" w:rsidP="00C43A9F">
      <w:pPr>
        <w:pStyle w:val="CommentText"/>
        <w:spacing w:line="276" w:lineRule="auto"/>
        <w:ind w:firstLine="851"/>
        <w:jc w:val="center"/>
        <w:rPr>
          <w:b/>
          <w:sz w:val="26"/>
          <w:szCs w:val="26"/>
        </w:rPr>
      </w:pPr>
      <w:r>
        <w:rPr>
          <w:noProof/>
          <w:lang w:val="en-ZA" w:eastAsia="en-ZA"/>
        </w:rPr>
        <w:drawing>
          <wp:anchor distT="0" distB="0" distL="114300" distR="114300" simplePos="0" relativeHeight="251658280" behindDoc="0" locked="0" layoutInCell="1" allowOverlap="1" wp14:anchorId="0DAB6839" wp14:editId="79983C84">
            <wp:simplePos x="1762125" y="1085850"/>
            <wp:positionH relativeFrom="margin">
              <wp:align>center</wp:align>
            </wp:positionH>
            <wp:positionV relativeFrom="margin">
              <wp:align>center</wp:align>
            </wp:positionV>
            <wp:extent cx="5259705" cy="7252970"/>
            <wp:effectExtent l="76200" t="76200" r="131445" b="1384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259705" cy="725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2DEA99E" w14:textId="1A58F69C" w:rsidR="00AE241F" w:rsidRDefault="00AE241F" w:rsidP="004D64C1">
      <w:pPr>
        <w:pStyle w:val="CommentText"/>
        <w:spacing w:line="276" w:lineRule="auto"/>
        <w:jc w:val="both"/>
        <w:rPr>
          <w:b/>
          <w:sz w:val="26"/>
          <w:szCs w:val="26"/>
        </w:rPr>
      </w:pPr>
    </w:p>
    <w:p w14:paraId="56C0E43E" w14:textId="4EAEDA20" w:rsidR="00D3287A" w:rsidRPr="00AB7B52" w:rsidRDefault="00D3287A" w:rsidP="00C43A9F">
      <w:pPr>
        <w:pStyle w:val="Heading2"/>
        <w:ind w:left="720" w:hanging="720"/>
        <w:jc w:val="both"/>
      </w:pPr>
      <w:bookmarkStart w:id="416" w:name="_Toc95209856"/>
      <w:bookmarkStart w:id="417" w:name="_Toc109812403"/>
      <w:r w:rsidRPr="00AB7B52">
        <w:t xml:space="preserve">I am struggling with finalizing the Registration, I get an error message “server error in ’/ </w:t>
      </w:r>
      <w:proofErr w:type="spellStart"/>
      <w:r w:rsidRPr="00AB7B52">
        <w:t>Ensuitutil.web</w:t>
      </w:r>
      <w:proofErr w:type="spellEnd"/>
      <w:r w:rsidRPr="00AB7B52">
        <w:t xml:space="preserve">’. </w:t>
      </w:r>
      <w:proofErr w:type="gramStart"/>
      <w:r w:rsidRPr="00AB7B52">
        <w:t>application</w:t>
      </w:r>
      <w:proofErr w:type="gramEnd"/>
      <w:r w:rsidRPr="00AB7B52">
        <w:t>.</w:t>
      </w:r>
      <w:bookmarkEnd w:id="416"/>
      <w:bookmarkEnd w:id="417"/>
    </w:p>
    <w:p w14:paraId="41011416" w14:textId="77777777" w:rsidR="00D3287A" w:rsidRPr="00D3287A" w:rsidRDefault="00D3287A" w:rsidP="00C43A9F">
      <w:r w:rsidRPr="00D3287A">
        <w:t>Currently the system only supports .</w:t>
      </w:r>
      <w:proofErr w:type="spellStart"/>
      <w:r w:rsidRPr="00D3287A">
        <w:t>za</w:t>
      </w:r>
      <w:proofErr w:type="spellEnd"/>
      <w:r w:rsidRPr="00D3287A">
        <w:t xml:space="preserve"> and .com domain names. Other unique domain names are not supported at the moment.</w:t>
      </w:r>
    </w:p>
    <w:p w14:paraId="3DABCDAE" w14:textId="3097012F" w:rsidR="00D3287A" w:rsidRDefault="00D3287A" w:rsidP="00C43A9F">
      <w:r>
        <w:t>Google Chrome is the recommended internet browser for the SAGERS.</w:t>
      </w:r>
    </w:p>
    <w:p w14:paraId="46FA5626" w14:textId="6CB0A350" w:rsidR="00F33FB2" w:rsidRPr="00AB7B52" w:rsidRDefault="00F33FB2" w:rsidP="00F33FB2">
      <w:pPr>
        <w:pStyle w:val="Heading2"/>
        <w:ind w:left="720" w:hanging="720"/>
        <w:jc w:val="both"/>
      </w:pPr>
      <w:bookmarkStart w:id="418" w:name="_Toc109812404"/>
      <w:r w:rsidRPr="00F33FB2">
        <w:t>I am not sure which IPCC category my company triggers. What documents do I need to read and whom can I contact for assistance?</w:t>
      </w:r>
      <w:bookmarkEnd w:id="418"/>
    </w:p>
    <w:p w14:paraId="25289723" w14:textId="49217777" w:rsidR="00686C60" w:rsidRPr="00843622" w:rsidRDefault="615A6C46" w:rsidP="0A4EECCE">
      <w:pPr>
        <w:jc w:val="both"/>
        <w:rPr>
          <w:rFonts w:eastAsia="Arial Narrow" w:cs="Arial Narrow"/>
          <w:szCs w:val="24"/>
        </w:rPr>
      </w:pPr>
      <w:r w:rsidRPr="00843622">
        <w:rPr>
          <w:rFonts w:eastAsia="Arial Narrow" w:cs="Arial Narrow"/>
          <w:szCs w:val="24"/>
        </w:rPr>
        <w:t>Data providers may read the following documents for further clarity on IPCC c</w:t>
      </w:r>
      <w:r w:rsidR="56046C6C" w:rsidRPr="00843622">
        <w:rPr>
          <w:rFonts w:eastAsia="Arial Narrow" w:cs="Arial Narrow"/>
          <w:szCs w:val="24"/>
        </w:rPr>
        <w:t>a</w:t>
      </w:r>
      <w:r w:rsidRPr="00843622">
        <w:rPr>
          <w:rFonts w:eastAsia="Arial Narrow" w:cs="Arial Narrow"/>
          <w:szCs w:val="24"/>
        </w:rPr>
        <w:t>t</w:t>
      </w:r>
      <w:r w:rsidR="5C6B02D0" w:rsidRPr="00843622">
        <w:rPr>
          <w:rFonts w:eastAsia="Arial Narrow" w:cs="Arial Narrow"/>
          <w:szCs w:val="24"/>
        </w:rPr>
        <w:t>e</w:t>
      </w:r>
      <w:r w:rsidRPr="00843622">
        <w:rPr>
          <w:rFonts w:eastAsia="Arial Narrow" w:cs="Arial Narrow"/>
          <w:szCs w:val="24"/>
        </w:rPr>
        <w:t>gories:</w:t>
      </w:r>
    </w:p>
    <w:p w14:paraId="3953EA3F" w14:textId="529895B7" w:rsidR="00686C60" w:rsidRPr="00843622" w:rsidRDefault="615A6C46" w:rsidP="009D08FD">
      <w:pPr>
        <w:pStyle w:val="ListParagraph"/>
        <w:numPr>
          <w:ilvl w:val="0"/>
          <w:numId w:val="14"/>
        </w:numPr>
        <w:spacing w:line="264" w:lineRule="auto"/>
        <w:rPr>
          <w:rFonts w:asciiTheme="minorHAnsi" w:eastAsiaTheme="minorEastAsia" w:hAnsiTheme="minorHAnsi"/>
          <w:color w:val="auto"/>
          <w:szCs w:val="24"/>
        </w:rPr>
      </w:pPr>
      <w:r w:rsidRPr="00843622">
        <w:rPr>
          <w:rFonts w:eastAsia="Arial Narrow" w:cs="Arial Narrow"/>
          <w:color w:val="auto"/>
          <w:szCs w:val="24"/>
        </w:rPr>
        <w:t xml:space="preserve"> </w:t>
      </w:r>
      <w:r w:rsidR="46D8E93B" w:rsidRPr="00843622">
        <w:rPr>
          <w:rFonts w:eastAsia="Arial Narrow" w:cs="Arial Narrow"/>
          <w:color w:val="auto"/>
          <w:szCs w:val="24"/>
        </w:rPr>
        <w:t xml:space="preserve">2016 National </w:t>
      </w:r>
      <w:r w:rsidRPr="00843622">
        <w:rPr>
          <w:rFonts w:eastAsia="Arial Narrow" w:cs="Arial Narrow"/>
          <w:color w:val="auto"/>
          <w:szCs w:val="24"/>
        </w:rPr>
        <w:t>GHG emission reporting regulations</w:t>
      </w:r>
      <w:r w:rsidR="27437930" w:rsidRPr="00843622">
        <w:rPr>
          <w:rFonts w:eastAsia="Arial Narrow" w:cs="Arial Narrow"/>
          <w:color w:val="auto"/>
          <w:szCs w:val="24"/>
        </w:rPr>
        <w:t xml:space="preserve"> - </w:t>
      </w:r>
      <w:hyperlink r:id="rId55" w:history="1">
        <w:r w:rsidR="47B06925" w:rsidRPr="00843622">
          <w:rPr>
            <w:rStyle w:val="Hyperlink"/>
            <w:rFonts w:eastAsia="Arial Narrow" w:cs="Arial Narrow"/>
            <w:color w:val="auto"/>
            <w:szCs w:val="24"/>
          </w:rPr>
          <w:t>https://www.gov.za/documents/national-environmental-management-air-quality-act-regulations-national-greenhouse-gas-3</w:t>
        </w:r>
      </w:hyperlink>
      <w:r w:rsidR="47B06925" w:rsidRPr="00843622">
        <w:rPr>
          <w:rFonts w:eastAsia="Arial Narrow" w:cs="Arial Narrow"/>
          <w:color w:val="auto"/>
          <w:szCs w:val="24"/>
        </w:rPr>
        <w:t xml:space="preserve"> </w:t>
      </w:r>
    </w:p>
    <w:p w14:paraId="1FE9D89A" w14:textId="6877909D" w:rsidR="00686C60" w:rsidRPr="00843622" w:rsidRDefault="615A6C46" w:rsidP="009D08FD">
      <w:pPr>
        <w:pStyle w:val="ListParagraph"/>
        <w:numPr>
          <w:ilvl w:val="0"/>
          <w:numId w:val="14"/>
        </w:numPr>
        <w:spacing w:line="264" w:lineRule="auto"/>
        <w:jc w:val="both"/>
        <w:rPr>
          <w:rFonts w:asciiTheme="minorHAnsi" w:eastAsiaTheme="minorEastAsia" w:hAnsiTheme="minorHAnsi"/>
          <w:color w:val="auto"/>
          <w:szCs w:val="24"/>
        </w:rPr>
      </w:pPr>
      <w:r w:rsidRPr="00843622">
        <w:rPr>
          <w:rFonts w:eastAsia="Arial Narrow" w:cs="Arial Narrow"/>
          <w:color w:val="auto"/>
          <w:szCs w:val="24"/>
        </w:rPr>
        <w:t>2006 IPCC Guidelines</w:t>
      </w:r>
      <w:r w:rsidR="369690C8" w:rsidRPr="00843622">
        <w:rPr>
          <w:rFonts w:eastAsia="Arial Narrow" w:cs="Arial Narrow"/>
          <w:color w:val="auto"/>
          <w:szCs w:val="24"/>
        </w:rPr>
        <w:t xml:space="preserve"> - </w:t>
      </w:r>
      <w:hyperlink r:id="rId56" w:history="1">
        <w:r w:rsidR="032F311C" w:rsidRPr="00843622">
          <w:rPr>
            <w:rStyle w:val="Hyperlink"/>
            <w:rFonts w:eastAsia="Arial Narrow" w:cs="Arial Narrow"/>
            <w:color w:val="auto"/>
            <w:szCs w:val="24"/>
          </w:rPr>
          <w:t>https://www.ipcc-nggip.iges.or.jp/public/2006gl/</w:t>
        </w:r>
      </w:hyperlink>
      <w:r w:rsidR="032F311C" w:rsidRPr="00843622">
        <w:rPr>
          <w:rFonts w:eastAsia="Arial Narrow" w:cs="Arial Narrow"/>
          <w:color w:val="auto"/>
          <w:szCs w:val="24"/>
        </w:rPr>
        <w:t xml:space="preserve"> </w:t>
      </w:r>
    </w:p>
    <w:p w14:paraId="0C6975C7" w14:textId="56D52AE4" w:rsidR="00686C60" w:rsidRPr="00843622" w:rsidRDefault="032F311C" w:rsidP="009D08FD">
      <w:pPr>
        <w:pStyle w:val="ListParagraph"/>
        <w:numPr>
          <w:ilvl w:val="0"/>
          <w:numId w:val="14"/>
        </w:numPr>
        <w:spacing w:line="264" w:lineRule="auto"/>
        <w:jc w:val="both"/>
        <w:rPr>
          <w:rFonts w:asciiTheme="minorHAnsi" w:eastAsiaTheme="minorEastAsia" w:hAnsiTheme="minorHAnsi"/>
          <w:color w:val="auto"/>
          <w:szCs w:val="24"/>
        </w:rPr>
      </w:pPr>
      <w:r w:rsidRPr="00843622">
        <w:rPr>
          <w:rFonts w:eastAsia="Arial Narrow" w:cs="Arial Narrow"/>
          <w:color w:val="auto"/>
          <w:szCs w:val="24"/>
        </w:rPr>
        <w:t xml:space="preserve">2019 IPCC Refinements - </w:t>
      </w:r>
      <w:hyperlink r:id="rId57" w:history="1">
        <w:r w:rsidRPr="00843622">
          <w:rPr>
            <w:rStyle w:val="Hyperlink"/>
            <w:color w:val="auto"/>
            <w:szCs w:val="24"/>
          </w:rPr>
          <w:t>https://www.ipcc-nggip.iges.or.jp/public/2006gl/</w:t>
        </w:r>
      </w:hyperlink>
      <w:r w:rsidRPr="00843622">
        <w:rPr>
          <w:color w:val="auto"/>
          <w:szCs w:val="24"/>
        </w:rPr>
        <w:t xml:space="preserve"> </w:t>
      </w:r>
    </w:p>
    <w:p w14:paraId="5B0E5A40" w14:textId="1D63FD30" w:rsidR="00686C60" w:rsidRPr="000D3D71" w:rsidRDefault="032F311C" w:rsidP="00236E0D">
      <w:pPr>
        <w:jc w:val="both"/>
        <w:rPr>
          <w:rFonts w:eastAsia="Calibri" w:cs="Arial"/>
          <w:color w:val="4C4635" w:themeColor="text2" w:themeShade="BF"/>
          <w:szCs w:val="24"/>
        </w:rPr>
      </w:pPr>
      <w:r w:rsidRPr="00843622">
        <w:rPr>
          <w:rFonts w:eastAsia="Calibri" w:cs="Arial"/>
          <w:szCs w:val="24"/>
        </w:rPr>
        <w:t xml:space="preserve">Should data providers </w:t>
      </w:r>
      <w:r w:rsidR="4A322424" w:rsidRPr="00843622">
        <w:rPr>
          <w:rFonts w:eastAsia="Calibri" w:cs="Arial"/>
          <w:szCs w:val="24"/>
        </w:rPr>
        <w:t xml:space="preserve">require </w:t>
      </w:r>
      <w:r w:rsidR="17877B28" w:rsidRPr="00843622">
        <w:rPr>
          <w:rFonts w:eastAsia="Calibri" w:cs="Arial"/>
          <w:szCs w:val="24"/>
        </w:rPr>
        <w:t xml:space="preserve">further assistance, please contact the GHG Inventory and Systems Directorate on </w:t>
      </w:r>
      <w:hyperlink r:id="rId58" w:history="1">
        <w:r w:rsidR="17877B28" w:rsidRPr="00843622">
          <w:rPr>
            <w:rStyle w:val="Hyperlink"/>
            <w:rFonts w:eastAsia="Calibri" w:cs="Arial"/>
            <w:color w:val="0070C0"/>
            <w:szCs w:val="24"/>
          </w:rPr>
          <w:t>GHGReporting@dffe.gov.za</w:t>
        </w:r>
      </w:hyperlink>
      <w:r w:rsidR="17877B28" w:rsidRPr="00843622">
        <w:rPr>
          <w:rFonts w:eastAsia="Calibri" w:cs="Arial"/>
          <w:color w:val="0070C0"/>
          <w:szCs w:val="24"/>
        </w:rPr>
        <w:t xml:space="preserve"> </w:t>
      </w:r>
    </w:p>
    <w:p w14:paraId="2C568DCB" w14:textId="45C05AA9" w:rsidR="00686C60" w:rsidRPr="00236E0D" w:rsidRDefault="00686C60" w:rsidP="00236E0D">
      <w:pPr>
        <w:jc w:val="both"/>
        <w:rPr>
          <w:rFonts w:eastAsia="Calibri" w:cs="Arial"/>
          <w:b/>
          <w:bCs/>
          <w:szCs w:val="24"/>
        </w:rPr>
      </w:pPr>
    </w:p>
    <w:p w14:paraId="11432756" w14:textId="77777777" w:rsidR="00686C60" w:rsidRPr="00236E0D" w:rsidRDefault="00686C60" w:rsidP="0A4EECCE">
      <w:pPr>
        <w:rPr>
          <w:rFonts w:eastAsia="Arial Narrow" w:cs="Arial Narrow"/>
          <w:szCs w:val="24"/>
        </w:rPr>
      </w:pPr>
    </w:p>
    <w:p w14:paraId="5848D7E5" w14:textId="77777777" w:rsidR="00686C60" w:rsidRPr="00236E0D" w:rsidRDefault="00686C60" w:rsidP="0A4EECCE">
      <w:pPr>
        <w:rPr>
          <w:rFonts w:eastAsia="Arial Narrow" w:cs="Arial Narrow"/>
          <w:szCs w:val="24"/>
        </w:rPr>
      </w:pPr>
    </w:p>
    <w:p w14:paraId="7D8F5B3B" w14:textId="77777777" w:rsidR="00686C60" w:rsidRPr="00236E0D" w:rsidRDefault="00686C60" w:rsidP="0A4EECCE">
      <w:pPr>
        <w:rPr>
          <w:rFonts w:eastAsia="Arial Narrow" w:cs="Arial Narrow"/>
          <w:szCs w:val="24"/>
        </w:rPr>
      </w:pPr>
    </w:p>
    <w:p w14:paraId="7FABEDFA" w14:textId="77777777" w:rsidR="00686C60" w:rsidRPr="00236E0D" w:rsidRDefault="00686C60" w:rsidP="0A4EECCE">
      <w:pPr>
        <w:rPr>
          <w:rFonts w:eastAsia="Arial Narrow" w:cs="Arial Narrow"/>
          <w:szCs w:val="24"/>
        </w:rPr>
      </w:pPr>
    </w:p>
    <w:p w14:paraId="01D5804B" w14:textId="77777777" w:rsidR="00686C60" w:rsidRPr="00236E0D" w:rsidRDefault="00686C60" w:rsidP="0A4EECCE">
      <w:pPr>
        <w:rPr>
          <w:rFonts w:eastAsia="Arial Narrow" w:cs="Arial Narrow"/>
          <w:szCs w:val="24"/>
        </w:rPr>
      </w:pPr>
    </w:p>
    <w:p w14:paraId="76A76315" w14:textId="77777777" w:rsidR="00686C60" w:rsidRPr="00236E0D" w:rsidRDefault="00686C60" w:rsidP="0A4EECCE">
      <w:pPr>
        <w:rPr>
          <w:rFonts w:eastAsia="Arial Narrow" w:cs="Arial Narrow"/>
          <w:szCs w:val="24"/>
        </w:rPr>
      </w:pPr>
    </w:p>
    <w:p w14:paraId="0E91126C" w14:textId="77777777" w:rsidR="00686C60" w:rsidRDefault="00686C60" w:rsidP="00C43A9F"/>
    <w:p w14:paraId="6E7C721A" w14:textId="77777777" w:rsidR="00686C60" w:rsidRDefault="00686C60" w:rsidP="00C43A9F"/>
    <w:p w14:paraId="37324A7A" w14:textId="77777777" w:rsidR="00686C60" w:rsidRDefault="00686C60" w:rsidP="00C43A9F"/>
    <w:p w14:paraId="1F600E0D" w14:textId="77777777" w:rsidR="00686C60" w:rsidRDefault="00686C60" w:rsidP="00C43A9F"/>
    <w:p w14:paraId="4307D97F" w14:textId="77777777" w:rsidR="00686C60" w:rsidRDefault="00686C60" w:rsidP="00C43A9F"/>
    <w:p w14:paraId="1F2FAFA3" w14:textId="77777777" w:rsidR="00686C60" w:rsidRDefault="00686C60" w:rsidP="00C43A9F"/>
    <w:p w14:paraId="60161FAA" w14:textId="77777777" w:rsidR="00686C60" w:rsidRDefault="00686C60" w:rsidP="00C43A9F">
      <w:pPr>
        <w:rPr>
          <w:rFonts w:eastAsiaTheme="majorEastAsia" w:cstheme="majorBidi"/>
          <w:b/>
          <w:bCs/>
          <w:color w:val="006600"/>
          <w:sz w:val="28"/>
          <w:szCs w:val="28"/>
          <w14:numForm w14:val="oldStyle"/>
        </w:rPr>
      </w:pPr>
    </w:p>
    <w:p w14:paraId="45367C7D" w14:textId="0B4C4212" w:rsidR="009E3DFB" w:rsidRPr="002E785D" w:rsidRDefault="00D3287A" w:rsidP="00C43A9F">
      <w:pPr>
        <w:pStyle w:val="Heading1"/>
        <w:numPr>
          <w:ilvl w:val="0"/>
          <w:numId w:val="0"/>
        </w:numPr>
      </w:pPr>
      <w:bookmarkStart w:id="419" w:name="_Toc95209857"/>
      <w:bookmarkStart w:id="420" w:name="_Toc109812405"/>
      <w:r>
        <w:t xml:space="preserve">3. </w:t>
      </w:r>
      <w:r w:rsidR="009E3DFB" w:rsidRPr="002E785D">
        <w:t>Application of Registration &amp; Reporting Thresholds</w:t>
      </w:r>
      <w:bookmarkEnd w:id="419"/>
      <w:bookmarkEnd w:id="420"/>
    </w:p>
    <w:p w14:paraId="1DA12F78" w14:textId="77777777" w:rsidR="00C43A9F" w:rsidRPr="00C43A9F" w:rsidRDefault="00C43A9F" w:rsidP="009D08FD">
      <w:pPr>
        <w:pStyle w:val="ListParagraph"/>
        <w:keepNext/>
        <w:keepLines/>
        <w:numPr>
          <w:ilvl w:val="0"/>
          <w:numId w:val="10"/>
        </w:numPr>
        <w:contextualSpacing w:val="0"/>
        <w:outlineLvl w:val="1"/>
        <w:rPr>
          <w:rFonts w:eastAsiaTheme="majorEastAsia" w:cstheme="majorBidi"/>
          <w:b/>
          <w:bCs/>
          <w:vanish/>
          <w:color w:val="C98711"/>
          <w:sz w:val="26"/>
          <w:szCs w:val="26"/>
        </w:rPr>
      </w:pPr>
      <w:bookmarkStart w:id="421" w:name="_Toc55988030"/>
      <w:bookmarkStart w:id="422" w:name="_Toc55988117"/>
      <w:bookmarkStart w:id="423" w:name="_Toc55988362"/>
      <w:bookmarkStart w:id="424" w:name="_Toc55988559"/>
      <w:bookmarkStart w:id="425" w:name="_Toc56121612"/>
      <w:bookmarkStart w:id="426" w:name="_Toc56152959"/>
      <w:bookmarkStart w:id="427" w:name="_Toc57007883"/>
      <w:bookmarkStart w:id="428" w:name="_Toc95207386"/>
      <w:bookmarkStart w:id="429" w:name="_Toc95208789"/>
      <w:bookmarkStart w:id="430" w:name="_Toc95208890"/>
      <w:bookmarkStart w:id="431" w:name="_Toc95209858"/>
      <w:bookmarkStart w:id="432" w:name="_Toc95211608"/>
      <w:bookmarkStart w:id="433" w:name="_Toc95226736"/>
      <w:bookmarkStart w:id="434" w:name="_Toc97831432"/>
      <w:bookmarkStart w:id="435" w:name="_Toc97832400"/>
      <w:bookmarkStart w:id="436" w:name="_Toc97833375"/>
      <w:bookmarkStart w:id="437" w:name="_Toc97833581"/>
      <w:bookmarkStart w:id="438" w:name="_Toc97834337"/>
      <w:bookmarkStart w:id="439" w:name="_Toc98783196"/>
      <w:bookmarkStart w:id="440" w:name="_Toc99128171"/>
      <w:bookmarkStart w:id="441" w:name="_Toc99128598"/>
      <w:bookmarkStart w:id="442" w:name="_Toc109812406"/>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3B2EE3DA" w14:textId="787155A1" w:rsidR="009E3DFB" w:rsidRPr="006C6408" w:rsidRDefault="00FD219F" w:rsidP="00C43A9F">
      <w:pPr>
        <w:pStyle w:val="Heading2"/>
        <w:ind w:left="720" w:hanging="720"/>
      </w:pPr>
      <w:bookmarkStart w:id="443" w:name="_Toc95209859"/>
      <w:bookmarkStart w:id="444" w:name="_Toc109812407"/>
      <w:r>
        <w:t>Should a company</w:t>
      </w:r>
      <w:r w:rsidR="009E3DFB" w:rsidRPr="006C6408">
        <w:t xml:space="preserve"> include the LPG stove used in their staff kitchen in the GHG Data Provider </w:t>
      </w:r>
      <w:r w:rsidR="00BE376C" w:rsidRPr="006C6408">
        <w:t>Registration?</w:t>
      </w:r>
      <w:bookmarkEnd w:id="443"/>
      <w:bookmarkEnd w:id="444"/>
      <w:r w:rsidR="009E3DFB" w:rsidRPr="006C6408">
        <w:t xml:space="preserve"> </w:t>
      </w:r>
    </w:p>
    <w:p w14:paraId="30496518" w14:textId="5229C61B" w:rsidR="009E3DFB" w:rsidRPr="00386EC5" w:rsidRDefault="009E3DFB" w:rsidP="006C6408">
      <w:pPr>
        <w:jc w:val="both"/>
        <w:rPr>
          <w:szCs w:val="24"/>
        </w:rPr>
      </w:pPr>
      <w:r w:rsidRPr="00F02CC5">
        <w:rPr>
          <w:szCs w:val="24"/>
        </w:rPr>
        <w:t xml:space="preserve">If the LPG stove is in company premises and the company has operational control over such a device, and they meet the reporting </w:t>
      </w:r>
      <w:r w:rsidR="00D3287A">
        <w:rPr>
          <w:szCs w:val="24"/>
        </w:rPr>
        <w:t>threshold</w:t>
      </w:r>
      <w:r w:rsidR="00D3287A" w:rsidRPr="00F02CC5">
        <w:rPr>
          <w:szCs w:val="24"/>
        </w:rPr>
        <w:t xml:space="preserve"> </w:t>
      </w:r>
      <w:r w:rsidRPr="00F02CC5">
        <w:rPr>
          <w:szCs w:val="24"/>
        </w:rPr>
        <w:t>they will have to register the stove.</w:t>
      </w:r>
    </w:p>
    <w:p w14:paraId="562A6BC2" w14:textId="537129C8" w:rsidR="009E3DFB" w:rsidRPr="006C6408" w:rsidRDefault="009E3DFB" w:rsidP="00C43A9F">
      <w:pPr>
        <w:pStyle w:val="Heading2"/>
        <w:ind w:left="720" w:hanging="720"/>
        <w:jc w:val="both"/>
      </w:pPr>
      <w:bookmarkStart w:id="445" w:name="_Toc95209860"/>
      <w:bookmarkStart w:id="446" w:name="_Toc109812408"/>
      <w:r w:rsidRPr="006C6408">
        <w:t>Do we consider rounding off in the application of thresholds, the data provider capacity is 9.916 MW?</w:t>
      </w:r>
      <w:bookmarkEnd w:id="445"/>
      <w:bookmarkEnd w:id="446"/>
    </w:p>
    <w:p w14:paraId="7F74F66C" w14:textId="3FC631BC" w:rsidR="004B7208" w:rsidRPr="00F02CC5" w:rsidRDefault="009E3DFB" w:rsidP="00F02CC5">
      <w:pPr>
        <w:jc w:val="both"/>
        <w:rPr>
          <w:szCs w:val="24"/>
        </w:rPr>
      </w:pPr>
      <w:r w:rsidRPr="00B210C1">
        <w:rPr>
          <w:szCs w:val="24"/>
        </w:rPr>
        <w:t>The reality is that the actual capacity does not equal or exceed the threshold and therefore this entity should n</w:t>
      </w:r>
      <w:r w:rsidR="004B7208">
        <w:rPr>
          <w:szCs w:val="24"/>
        </w:rPr>
        <w:t>ot be subject to registration.</w:t>
      </w:r>
    </w:p>
    <w:p w14:paraId="343ACEBF" w14:textId="486A2534" w:rsidR="00950617" w:rsidRDefault="00654D48" w:rsidP="009D08FD">
      <w:pPr>
        <w:pStyle w:val="Heading2"/>
        <w:numPr>
          <w:ilvl w:val="1"/>
          <w:numId w:val="6"/>
        </w:numPr>
        <w:jc w:val="both"/>
      </w:pPr>
      <w:bookmarkStart w:id="447" w:name="_Toc95209861"/>
      <w:bookmarkStart w:id="448" w:name="_Toc109812409"/>
      <w:r w:rsidRPr="006C6408">
        <w:t>If I have activities that meet rep</w:t>
      </w:r>
      <w:r w:rsidR="00F23AAA" w:rsidRPr="006C6408">
        <w:t>orting thresholds in my company</w:t>
      </w:r>
      <w:r w:rsidRPr="006C6408">
        <w:t xml:space="preserve"> and other </w:t>
      </w:r>
      <w:r w:rsidR="00F23AAA" w:rsidRPr="006C6408">
        <w:t>activities</w:t>
      </w:r>
      <w:r w:rsidRPr="006C6408">
        <w:t xml:space="preserve"> that do not </w:t>
      </w:r>
      <w:r w:rsidR="00F23AAA" w:rsidRPr="006C6408">
        <w:t>trigger</w:t>
      </w:r>
      <w:r w:rsidRPr="006C6408">
        <w:t xml:space="preserve"> the reporting threshold, do I have to register all activities?  For example</w:t>
      </w:r>
      <w:r w:rsidR="004B2CC7">
        <w:t>,</w:t>
      </w:r>
      <w:r w:rsidRPr="006C6408">
        <w:t xml:space="preserve"> stationary combustion </w:t>
      </w:r>
      <w:r w:rsidR="00F23AAA" w:rsidRPr="006C6408">
        <w:t>installations</w:t>
      </w:r>
      <w:r w:rsidRPr="006C6408">
        <w:t xml:space="preserve"> that meet the threshold and waste treatment facility does </w:t>
      </w:r>
      <w:r w:rsidR="00663FF4" w:rsidRPr="006C6408">
        <w:t xml:space="preserve">not </w:t>
      </w:r>
      <w:r w:rsidRPr="006C6408">
        <w:t>meet the reporting threshold.</w:t>
      </w:r>
      <w:bookmarkEnd w:id="447"/>
      <w:bookmarkEnd w:id="448"/>
    </w:p>
    <w:p w14:paraId="24CF9E0F" w14:textId="29CEA8B0" w:rsidR="00654D48" w:rsidRPr="00654D48" w:rsidRDefault="00D66121" w:rsidP="00E038F3">
      <w:pPr>
        <w:jc w:val="both"/>
      </w:pPr>
      <w:r>
        <w:t>No, the data provider should only register the activities that meet or exceed the threshold</w:t>
      </w:r>
      <w:r w:rsidR="00F82B3B">
        <w:t>s</w:t>
      </w:r>
      <w:r>
        <w:t xml:space="preserve"> provided in Annexure 1 of the </w:t>
      </w:r>
      <w:r w:rsidR="004A707E">
        <w:t>NGERs</w:t>
      </w:r>
      <w:r>
        <w:t>, 2016 and any amendments to the Regulations there of.</w:t>
      </w:r>
      <w:r w:rsidR="00D3287A">
        <w:t xml:space="preserve"> In cases of stationary </w:t>
      </w:r>
      <w:r w:rsidR="0017277B">
        <w:t>combustion,</w:t>
      </w:r>
      <w:r w:rsidR="00D3287A">
        <w:t xml:space="preserve"> the cumulative threshold of all combustion installations in all facilities under the operational control of the data provider must be considered when </w:t>
      </w:r>
      <w:r w:rsidR="00C43A9F">
        <w:t>determining</w:t>
      </w:r>
      <w:r w:rsidR="00D3287A">
        <w:t xml:space="preserve"> the applicable threshold.</w:t>
      </w:r>
    </w:p>
    <w:p w14:paraId="270B01FD" w14:textId="55B15989" w:rsidR="003D1DAA" w:rsidRPr="007F2859" w:rsidRDefault="003D1DAA" w:rsidP="007F2859">
      <w:pPr>
        <w:keepNext/>
        <w:keepLines/>
        <w:outlineLvl w:val="1"/>
        <w:rPr>
          <w:rStyle w:val="Heading2Char"/>
          <w:vanish/>
        </w:rPr>
      </w:pPr>
      <w:bookmarkStart w:id="449" w:name="_Toc53659853"/>
      <w:bookmarkStart w:id="450" w:name="_Toc55195708"/>
      <w:bookmarkStart w:id="451" w:name="_Toc55221284"/>
      <w:bookmarkStart w:id="452" w:name="_Toc55222273"/>
      <w:bookmarkStart w:id="453" w:name="_Toc55817307"/>
      <w:bookmarkStart w:id="454" w:name="_Toc55896667"/>
      <w:bookmarkStart w:id="455" w:name="_Toc55905023"/>
      <w:bookmarkStart w:id="456" w:name="_Toc55905133"/>
      <w:bookmarkStart w:id="457" w:name="_Toc55195709"/>
      <w:bookmarkStart w:id="458" w:name="_Toc55221285"/>
      <w:bookmarkStart w:id="459" w:name="_Toc55222274"/>
      <w:bookmarkStart w:id="460" w:name="_Toc55817308"/>
      <w:bookmarkStart w:id="461" w:name="_Toc55896668"/>
      <w:bookmarkStart w:id="462" w:name="_Toc55905024"/>
      <w:bookmarkStart w:id="463" w:name="_Toc55905134"/>
      <w:bookmarkStart w:id="464" w:name="_Toc55195710"/>
      <w:bookmarkStart w:id="465" w:name="_Toc55221286"/>
      <w:bookmarkStart w:id="466" w:name="_Toc55222275"/>
      <w:bookmarkStart w:id="467" w:name="_Toc55817309"/>
      <w:bookmarkStart w:id="468" w:name="_Toc55896669"/>
      <w:bookmarkStart w:id="469" w:name="_Toc55905025"/>
      <w:bookmarkStart w:id="470" w:name="_Toc55905135"/>
      <w:bookmarkStart w:id="471" w:name="_Toc55195711"/>
      <w:bookmarkStart w:id="472" w:name="_Toc55221287"/>
      <w:bookmarkStart w:id="473" w:name="_Toc55222276"/>
      <w:bookmarkStart w:id="474" w:name="_Toc55817310"/>
      <w:bookmarkStart w:id="475" w:name="_Toc55896670"/>
      <w:bookmarkStart w:id="476" w:name="_Toc55905026"/>
      <w:bookmarkStart w:id="477" w:name="_Toc55905136"/>
      <w:bookmarkStart w:id="478" w:name="_Toc55195712"/>
      <w:bookmarkStart w:id="479" w:name="_Toc55221288"/>
      <w:bookmarkStart w:id="480" w:name="_Toc55222277"/>
      <w:bookmarkStart w:id="481" w:name="_Toc55817311"/>
      <w:bookmarkStart w:id="482" w:name="_Toc55896671"/>
      <w:bookmarkStart w:id="483" w:name="_Toc55905027"/>
      <w:bookmarkStart w:id="484" w:name="_Toc55905137"/>
      <w:bookmarkStart w:id="485" w:name="_Toc55988034"/>
      <w:bookmarkStart w:id="486" w:name="_Toc55988121"/>
      <w:bookmarkStart w:id="487" w:name="_Toc55988366"/>
      <w:bookmarkStart w:id="488" w:name="_Toc55988563"/>
      <w:bookmarkStart w:id="489" w:name="_Toc56121616"/>
      <w:bookmarkStart w:id="490" w:name="_Toc56152963"/>
      <w:bookmarkStart w:id="491" w:name="_Toc57007887"/>
      <w:bookmarkStart w:id="492" w:name="_Toc55988035"/>
      <w:bookmarkStart w:id="493" w:name="_Toc55988122"/>
      <w:bookmarkStart w:id="494" w:name="_Toc55988367"/>
      <w:bookmarkStart w:id="495" w:name="_Toc55988564"/>
      <w:bookmarkStart w:id="496" w:name="_Toc56121617"/>
      <w:bookmarkStart w:id="497" w:name="_Toc56152964"/>
      <w:bookmarkStart w:id="498" w:name="_Toc57007888"/>
      <w:bookmarkStart w:id="499" w:name="_Toc55988036"/>
      <w:bookmarkStart w:id="500" w:name="_Toc55988123"/>
      <w:bookmarkStart w:id="501" w:name="_Toc55988368"/>
      <w:bookmarkStart w:id="502" w:name="_Toc55988565"/>
      <w:bookmarkStart w:id="503" w:name="_Toc56121618"/>
      <w:bookmarkStart w:id="504" w:name="_Toc56152965"/>
      <w:bookmarkStart w:id="505" w:name="_Toc57007889"/>
      <w:bookmarkStart w:id="506" w:name="_Toc55988037"/>
      <w:bookmarkStart w:id="507" w:name="_Toc55988124"/>
      <w:bookmarkStart w:id="508" w:name="_Toc55988369"/>
      <w:bookmarkStart w:id="509" w:name="_Toc55988566"/>
      <w:bookmarkStart w:id="510" w:name="_Toc56121619"/>
      <w:bookmarkStart w:id="511" w:name="_Toc56152966"/>
      <w:bookmarkStart w:id="512" w:name="_Toc57007890"/>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27D8D726" w14:textId="4BE5B5B1" w:rsidR="009E3DFB" w:rsidRPr="000E365A" w:rsidRDefault="00F23AAA" w:rsidP="009D08FD">
      <w:pPr>
        <w:pStyle w:val="Heading2"/>
        <w:numPr>
          <w:ilvl w:val="1"/>
          <w:numId w:val="6"/>
        </w:numPr>
      </w:pPr>
      <w:bookmarkStart w:id="513" w:name="_Toc95209862"/>
      <w:bookmarkStart w:id="514" w:name="_Toc109812410"/>
      <w:r w:rsidRPr="000E365A">
        <w:rPr>
          <w:rStyle w:val="Heading2Char"/>
          <w:b/>
          <w:bCs/>
        </w:rPr>
        <w:t xml:space="preserve">How </w:t>
      </w:r>
      <w:r w:rsidR="00F005B7" w:rsidRPr="000E365A">
        <w:rPr>
          <w:rStyle w:val="Heading2Char"/>
          <w:b/>
          <w:bCs/>
        </w:rPr>
        <w:t xml:space="preserve">do </w:t>
      </w:r>
      <w:r w:rsidRPr="000E365A">
        <w:rPr>
          <w:rStyle w:val="Heading2Char"/>
          <w:b/>
          <w:bCs/>
        </w:rPr>
        <w:t xml:space="preserve">I determine </w:t>
      </w:r>
      <w:r w:rsidR="00654D48" w:rsidRPr="000E365A">
        <w:t>whether a company exceeds th</w:t>
      </w:r>
      <w:r w:rsidRPr="000E365A">
        <w:rPr>
          <w:rStyle w:val="Heading2Char"/>
          <w:b/>
          <w:bCs/>
        </w:rPr>
        <w:t>e 10 MW thermal net heat input, please confirm the</w:t>
      </w:r>
      <w:r w:rsidR="00654D48" w:rsidRPr="000E365A">
        <w:t xml:space="preserve"> equation to calculate the thermal net heat input for each item of sta</w:t>
      </w:r>
      <w:r w:rsidRPr="000E365A">
        <w:rPr>
          <w:rStyle w:val="Heading2Char"/>
          <w:b/>
          <w:bCs/>
        </w:rPr>
        <w:t>tionary combustion equipment?</w:t>
      </w:r>
      <w:bookmarkEnd w:id="513"/>
      <w:bookmarkEnd w:id="514"/>
      <w:r w:rsidRPr="000E365A">
        <w:t xml:space="preserve"> </w:t>
      </w:r>
    </w:p>
    <w:p w14:paraId="750238DA" w14:textId="3559C9B9" w:rsidR="0073323E" w:rsidRPr="00D150F9" w:rsidRDefault="0073323E" w:rsidP="00555681">
      <w:pPr>
        <w:rPr>
          <w:szCs w:val="24"/>
        </w:rPr>
      </w:pPr>
      <w:r w:rsidRPr="00D150F9">
        <w:rPr>
          <w:szCs w:val="24"/>
        </w:rPr>
        <w:t>Since the thermal input power (</w:t>
      </w:r>
      <w:r w:rsidR="00950617" w:rsidRPr="00D150F9">
        <w:rPr>
          <w:szCs w:val="24"/>
        </w:rPr>
        <w:t>MW (</w:t>
      </w:r>
      <w:proofErr w:type="spellStart"/>
      <w:proofErr w:type="gramStart"/>
      <w:r w:rsidRPr="00D150F9">
        <w:rPr>
          <w:szCs w:val="24"/>
        </w:rPr>
        <w:t>th</w:t>
      </w:r>
      <w:proofErr w:type="spellEnd"/>
      <w:proofErr w:type="gramEnd"/>
      <w:r w:rsidRPr="00D150F9">
        <w:rPr>
          <w:szCs w:val="24"/>
        </w:rPr>
        <w:t xml:space="preserve">)) for internal combustion engines cannot be found on </w:t>
      </w:r>
      <w:r w:rsidR="00950617">
        <w:rPr>
          <w:szCs w:val="24"/>
        </w:rPr>
        <w:t xml:space="preserve">the </w:t>
      </w:r>
      <w:r w:rsidRPr="00D150F9">
        <w:rPr>
          <w:szCs w:val="24"/>
        </w:rPr>
        <w:t>data-plate or information supplied by the manufacturer</w:t>
      </w:r>
      <w:r w:rsidR="00F72B3D">
        <w:rPr>
          <w:szCs w:val="24"/>
        </w:rPr>
        <w:t xml:space="preserve"> it would need to be calculated. There are various ways that the thermal input power can be calculated</w:t>
      </w:r>
      <w:r w:rsidR="003156B0">
        <w:rPr>
          <w:szCs w:val="24"/>
        </w:rPr>
        <w:t>, however, we have detailed a few ways below.</w:t>
      </w:r>
      <w:r w:rsidR="00E679C1">
        <w:rPr>
          <w:szCs w:val="24"/>
        </w:rPr>
        <w:t xml:space="preserve"> </w:t>
      </w:r>
      <w:r w:rsidR="003156B0">
        <w:rPr>
          <w:szCs w:val="24"/>
        </w:rPr>
        <w:t>P</w:t>
      </w:r>
      <w:r w:rsidRPr="00D150F9">
        <w:rPr>
          <w:szCs w:val="24"/>
        </w:rPr>
        <w:t xml:space="preserve">lease consider the following methodologies to estimate </w:t>
      </w:r>
      <w:r w:rsidR="00E679C1">
        <w:rPr>
          <w:szCs w:val="24"/>
        </w:rPr>
        <w:t>the</w:t>
      </w:r>
      <w:r w:rsidRPr="00D150F9">
        <w:rPr>
          <w:szCs w:val="24"/>
        </w:rPr>
        <w:t xml:space="preserve"> MW (</w:t>
      </w:r>
      <w:proofErr w:type="spellStart"/>
      <w:proofErr w:type="gramStart"/>
      <w:r w:rsidRPr="00D150F9">
        <w:rPr>
          <w:szCs w:val="24"/>
        </w:rPr>
        <w:t>th</w:t>
      </w:r>
      <w:proofErr w:type="spellEnd"/>
      <w:proofErr w:type="gramEnd"/>
      <w:r w:rsidRPr="00D150F9">
        <w:rPr>
          <w:szCs w:val="24"/>
        </w:rPr>
        <w:t>)</w:t>
      </w:r>
      <w:r w:rsidR="00555681">
        <w:rPr>
          <w:szCs w:val="24"/>
        </w:rPr>
        <w:t xml:space="preserve"> for your installed equipment: </w:t>
      </w:r>
    </w:p>
    <w:p w14:paraId="714BF0E3" w14:textId="77777777" w:rsidR="0073323E" w:rsidRPr="00FA7138" w:rsidRDefault="0073323E" w:rsidP="009D08FD">
      <w:pPr>
        <w:numPr>
          <w:ilvl w:val="0"/>
          <w:numId w:val="7"/>
        </w:numPr>
        <w:spacing w:line="240" w:lineRule="auto"/>
        <w:contextualSpacing/>
        <w:rPr>
          <w:b/>
          <w:color w:val="006600"/>
          <w:szCs w:val="24"/>
          <w:u w:val="single"/>
        </w:rPr>
      </w:pPr>
      <w:r w:rsidRPr="00FA7138">
        <w:rPr>
          <w:b/>
          <w:color w:val="006600"/>
          <w:szCs w:val="24"/>
          <w:u w:val="single"/>
        </w:rPr>
        <w:t xml:space="preserve">Output based approach </w:t>
      </w:r>
    </w:p>
    <w:p w14:paraId="096531AC" w14:textId="77777777" w:rsidR="0073323E" w:rsidRPr="00D150F9" w:rsidRDefault="0073323E" w:rsidP="0073323E">
      <w:pPr>
        <w:spacing w:line="240" w:lineRule="auto"/>
        <w:ind w:left="720"/>
        <w:contextualSpacing/>
        <w:rPr>
          <w:szCs w:val="24"/>
        </w:rPr>
      </w:pPr>
    </w:p>
    <w:p w14:paraId="3C904497" w14:textId="009459AD" w:rsidR="00E50927" w:rsidRPr="00843622" w:rsidRDefault="00E50927" w:rsidP="0073323E">
      <w:pPr>
        <w:spacing w:line="240" w:lineRule="auto"/>
        <w:ind w:left="720"/>
        <w:contextualSpacing/>
        <w:rPr>
          <w:b/>
          <w:bCs/>
          <w:szCs w:val="24"/>
        </w:rPr>
      </w:pPr>
      <w:r w:rsidRPr="00843622">
        <w:rPr>
          <w:b/>
          <w:bCs/>
          <w:szCs w:val="24"/>
        </w:rPr>
        <w:t>Approach A</w:t>
      </w:r>
      <w:r>
        <w:rPr>
          <w:b/>
          <w:bCs/>
          <w:szCs w:val="24"/>
        </w:rPr>
        <w:t>:</w:t>
      </w:r>
    </w:p>
    <w:p w14:paraId="0A2F5B0B" w14:textId="1CD543A1" w:rsidR="0073323E" w:rsidRPr="00D150F9" w:rsidRDefault="0073323E" w:rsidP="0073323E">
      <w:pPr>
        <w:spacing w:line="240" w:lineRule="auto"/>
        <w:ind w:left="720"/>
        <w:contextualSpacing/>
        <w:rPr>
          <w:szCs w:val="24"/>
        </w:rPr>
      </w:pPr>
      <w:r w:rsidRPr="00D150F9">
        <w:rPr>
          <w:szCs w:val="24"/>
        </w:rPr>
        <w:t>MW (</w:t>
      </w:r>
      <w:proofErr w:type="spellStart"/>
      <w:proofErr w:type="gramStart"/>
      <w:r w:rsidRPr="00D150F9">
        <w:rPr>
          <w:szCs w:val="24"/>
        </w:rPr>
        <w:t>th</w:t>
      </w:r>
      <w:proofErr w:type="spellEnd"/>
      <w:proofErr w:type="gramEnd"/>
      <w:r w:rsidRPr="00D150F9">
        <w:rPr>
          <w:szCs w:val="24"/>
        </w:rPr>
        <w:t xml:space="preserve">) =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m:t>
            </m:r>
          </m:sub>
        </m:sSub>
        <m:r>
          <w:rPr>
            <w:rFonts w:ascii="Cambria Math" w:hAnsi="Cambria Math"/>
            <w:sz w:val="22"/>
          </w:rPr>
          <m:t xml:space="preserve"> ×100/</m:t>
        </m:r>
        <m:sSub>
          <m:sSubPr>
            <m:ctrlPr>
              <w:rPr>
                <w:rFonts w:ascii="Cambria Math" w:hAnsi="Cambria Math"/>
                <w:i/>
                <w:sz w:val="22"/>
              </w:rPr>
            </m:ctrlPr>
          </m:sSubPr>
          <m:e>
            <m:r>
              <w:rPr>
                <w:rFonts w:ascii="Cambria Math" w:hAnsi="Cambria Math"/>
                <w:sz w:val="22"/>
              </w:rPr>
              <m:t>e</m:t>
            </m:r>
          </m:e>
          <m:sub>
            <m:r>
              <w:rPr>
                <w:rFonts w:ascii="Cambria Math" w:hAnsi="Cambria Math"/>
                <w:sz w:val="22"/>
              </w:rPr>
              <m:t>e</m:t>
            </m:r>
          </m:sub>
        </m:sSub>
      </m:oMath>
      <w:r w:rsidRPr="00D150F9">
        <w:rPr>
          <w:szCs w:val="24"/>
          <w:vertAlign w:val="subscript"/>
        </w:rPr>
        <w:t xml:space="preserve"> </w:t>
      </w:r>
    </w:p>
    <w:p w14:paraId="55C47A61" w14:textId="77777777" w:rsidR="0073323E" w:rsidRPr="00D150F9" w:rsidRDefault="0073323E" w:rsidP="0073323E">
      <w:pPr>
        <w:spacing w:line="240" w:lineRule="auto"/>
        <w:ind w:left="720"/>
        <w:contextualSpacing/>
        <w:rPr>
          <w:szCs w:val="24"/>
        </w:rPr>
      </w:pPr>
    </w:p>
    <w:p w14:paraId="32EE3941" w14:textId="2D9205F6" w:rsidR="009D1779" w:rsidRDefault="009D1779" w:rsidP="005D10CB">
      <w:pPr>
        <w:spacing w:line="240" w:lineRule="auto"/>
        <w:contextualSpacing/>
        <w:rPr>
          <w:sz w:val="22"/>
        </w:rPr>
      </w:pPr>
      <w:r>
        <w:rPr>
          <w:sz w:val="22"/>
        </w:rPr>
        <w:t>MW (</w:t>
      </w:r>
      <w:proofErr w:type="spellStart"/>
      <w:proofErr w:type="gramStart"/>
      <w:r>
        <w:rPr>
          <w:sz w:val="22"/>
        </w:rPr>
        <w:t>th</w:t>
      </w:r>
      <w:proofErr w:type="spellEnd"/>
      <w:proofErr w:type="gramEnd"/>
      <w:r>
        <w:rPr>
          <w:sz w:val="22"/>
        </w:rPr>
        <w:t xml:space="preserve">) is </w:t>
      </w:r>
      <w:r w:rsidRPr="009D1779">
        <w:rPr>
          <w:sz w:val="22"/>
        </w:rPr>
        <w:t>the megawatt thermal (in MW)</w:t>
      </w:r>
    </w:p>
    <w:p w14:paraId="6D97BCB8" w14:textId="77777777" w:rsidR="0073323E" w:rsidRPr="00D150F9" w:rsidRDefault="0073323E" w:rsidP="005D10CB">
      <w:pPr>
        <w:spacing w:line="240" w:lineRule="auto"/>
        <w:contextualSpacing/>
        <w:rPr>
          <w:sz w:val="22"/>
        </w:rPr>
      </w:pPr>
      <w:proofErr w:type="spellStart"/>
      <w:r w:rsidRPr="00D150F9">
        <w:rPr>
          <w:sz w:val="22"/>
        </w:rPr>
        <w:t>P</w:t>
      </w:r>
      <w:r w:rsidRPr="00D150F9">
        <w:rPr>
          <w:sz w:val="22"/>
          <w:vertAlign w:val="subscript"/>
        </w:rPr>
        <w:t>r</w:t>
      </w:r>
      <w:proofErr w:type="spellEnd"/>
      <w:r w:rsidRPr="00D150F9">
        <w:rPr>
          <w:sz w:val="22"/>
        </w:rPr>
        <w:t xml:space="preserve"> is the rated power (MW) (mechanical or electrical, whichever is available) </w:t>
      </w:r>
    </w:p>
    <w:p w14:paraId="712FC4BE" w14:textId="77777777" w:rsidR="0073323E" w:rsidRPr="00D150F9" w:rsidRDefault="0073323E" w:rsidP="005D10CB">
      <w:pPr>
        <w:spacing w:line="240" w:lineRule="auto"/>
        <w:contextualSpacing/>
        <w:rPr>
          <w:sz w:val="22"/>
        </w:rPr>
      </w:pPr>
      <w:proofErr w:type="spellStart"/>
      <w:proofErr w:type="gramStart"/>
      <w:r w:rsidRPr="00D150F9">
        <w:rPr>
          <w:sz w:val="22"/>
        </w:rPr>
        <w:t>e</w:t>
      </w:r>
      <w:r w:rsidRPr="00D150F9">
        <w:rPr>
          <w:sz w:val="22"/>
          <w:vertAlign w:val="subscript"/>
        </w:rPr>
        <w:t>e</w:t>
      </w:r>
      <w:proofErr w:type="spellEnd"/>
      <w:proofErr w:type="gramEnd"/>
      <w:r w:rsidRPr="00D150F9">
        <w:rPr>
          <w:sz w:val="22"/>
        </w:rPr>
        <w:t xml:space="preserve"> is the effective efficiency (%) relevant for mechanical or electrical power. </w:t>
      </w:r>
    </w:p>
    <w:p w14:paraId="509BAE6D" w14:textId="256E747D" w:rsidR="0073323E" w:rsidRDefault="0073323E" w:rsidP="005D10CB">
      <w:pPr>
        <w:spacing w:line="240" w:lineRule="auto"/>
        <w:contextualSpacing/>
        <w:rPr>
          <w:sz w:val="22"/>
        </w:rPr>
      </w:pPr>
      <w:r w:rsidRPr="00D150F9">
        <w:rPr>
          <w:sz w:val="22"/>
        </w:rPr>
        <w:t>The effective efficiencies are presented in</w:t>
      </w:r>
      <w:r w:rsidR="003B2944">
        <w:rPr>
          <w:sz w:val="22"/>
        </w:rPr>
        <w:t xml:space="preserve"> Table 1</w:t>
      </w:r>
      <w:r w:rsidR="009D1779">
        <w:rPr>
          <w:sz w:val="22"/>
        </w:rPr>
        <w:t xml:space="preserve"> below</w:t>
      </w:r>
      <w:r w:rsidRPr="00D150F9">
        <w:rPr>
          <w:sz w:val="22"/>
        </w:rPr>
        <w:t xml:space="preserve">. </w:t>
      </w:r>
    </w:p>
    <w:p w14:paraId="1552904D" w14:textId="77777777" w:rsidR="0077253B" w:rsidRDefault="0077253B" w:rsidP="0077253B">
      <w:pPr>
        <w:spacing w:line="240" w:lineRule="auto"/>
        <w:ind w:left="720"/>
        <w:contextualSpacing/>
        <w:rPr>
          <w:szCs w:val="24"/>
        </w:rPr>
      </w:pPr>
    </w:p>
    <w:p w14:paraId="7F7F59BF" w14:textId="141F7184" w:rsidR="0073323E" w:rsidRPr="00843622" w:rsidRDefault="0077253B" w:rsidP="0077253B">
      <w:pPr>
        <w:spacing w:line="240" w:lineRule="auto"/>
        <w:ind w:left="720"/>
        <w:contextualSpacing/>
        <w:rPr>
          <w:b/>
          <w:bCs/>
          <w:szCs w:val="24"/>
        </w:rPr>
      </w:pPr>
      <w:r w:rsidRPr="00843622">
        <w:rPr>
          <w:b/>
          <w:bCs/>
          <w:szCs w:val="24"/>
        </w:rPr>
        <w:t xml:space="preserve">Approach B: - boiler design steam output </w:t>
      </w:r>
    </w:p>
    <w:p w14:paraId="64CDF4A5" w14:textId="77777777" w:rsidR="0077253B" w:rsidRDefault="0077253B" w:rsidP="0077253B">
      <w:pPr>
        <w:spacing w:line="240" w:lineRule="auto"/>
        <w:ind w:left="720"/>
        <w:contextualSpacing/>
        <w:rPr>
          <w:szCs w:val="24"/>
        </w:rPr>
      </w:pPr>
    </w:p>
    <w:p w14:paraId="0F453ADA" w14:textId="67258C22" w:rsidR="00C65C2E" w:rsidRPr="00843622" w:rsidRDefault="007D5D8D" w:rsidP="0077253B">
      <w:pPr>
        <w:spacing w:line="240" w:lineRule="auto"/>
        <w:ind w:left="720"/>
        <w:contextualSpacing/>
        <w:rPr>
          <w:rFonts w:eastAsiaTheme="minorEastAsia"/>
          <w:szCs w:val="24"/>
        </w:rPr>
      </w:pPr>
      <m:oMathPara>
        <m:oMath>
          <m:r>
            <w:rPr>
              <w:rFonts w:ascii="Cambria Math" w:hAnsi="Cambria Math"/>
              <w:szCs w:val="24"/>
            </w:rPr>
            <m:t>MW</m:t>
          </m:r>
          <m:d>
            <m:dPr>
              <m:ctrlPr>
                <w:rPr>
                  <w:rFonts w:ascii="Cambria Math" w:hAnsi="Cambria Math"/>
                  <w:i/>
                  <w:szCs w:val="24"/>
                </w:rPr>
              </m:ctrlPr>
            </m:dPr>
            <m:e>
              <m:r>
                <w:rPr>
                  <w:rFonts w:ascii="Cambria Math" w:hAnsi="Cambria Math"/>
                  <w:szCs w:val="24"/>
                </w:rPr>
                <m:t>th</m:t>
              </m:r>
            </m:e>
          </m:d>
          <m:r>
            <w:rPr>
              <w:rFonts w:ascii="Cambria Math" w:hAnsi="Cambria Math"/>
              <w:szCs w:val="24"/>
            </w:rPr>
            <m:t>=</m:t>
          </m:r>
          <m:f>
            <m:fPr>
              <m:ctrlPr>
                <w:rPr>
                  <w:rFonts w:ascii="Cambria Math" w:hAnsi="Cambria Math"/>
                  <w:i/>
                  <w:szCs w:val="24"/>
                </w:rPr>
              </m:ctrlPr>
            </m:fPr>
            <m:num>
              <m:r>
                <w:rPr>
                  <w:rFonts w:ascii="Cambria Math" w:hAnsi="Cambria Math"/>
                  <w:szCs w:val="24"/>
                </w:rPr>
                <m:t>S*</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s,i</m:t>
                  </m:r>
                </m:sub>
              </m:sSub>
              <m:r>
                <w:rPr>
                  <w:rFonts w:ascii="Cambria Math" w:hAnsi="Cambria Math"/>
                  <w:szCs w:val="24"/>
                </w:rPr>
                <m:t>*</m:t>
              </m:r>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r>
                        <w:rPr>
                          <w:rFonts w:ascii="Cambria Math" w:hAnsi="Cambria Math"/>
                          <w:szCs w:val="24"/>
                        </w:rPr>
                        <m:t>L</m:t>
                      </m:r>
                    </m:num>
                    <m:den>
                      <m:r>
                        <w:rPr>
                          <w:rFonts w:ascii="Cambria Math" w:hAnsi="Cambria Math"/>
                          <w:szCs w:val="24"/>
                        </w:rPr>
                        <m:t>100</m:t>
                      </m:r>
                    </m:den>
                  </m:f>
                </m:e>
              </m:d>
            </m:num>
            <m:den>
              <m:r>
                <w:rPr>
                  <w:rFonts w:ascii="Cambria Math" w:hAnsi="Cambria Math"/>
                  <w:szCs w:val="24"/>
                </w:rPr>
                <m:t>1000</m:t>
              </m:r>
            </m:den>
          </m:f>
        </m:oMath>
      </m:oMathPara>
    </w:p>
    <w:p w14:paraId="4548DEA7" w14:textId="77777777" w:rsidR="007D5D8D" w:rsidRPr="00843622" w:rsidRDefault="007D5D8D" w:rsidP="0077253B">
      <w:pPr>
        <w:spacing w:line="240" w:lineRule="auto"/>
        <w:ind w:left="720"/>
        <w:contextualSpacing/>
        <w:rPr>
          <w:rFonts w:eastAsiaTheme="minorEastAsia"/>
          <w:szCs w:val="24"/>
        </w:rPr>
      </w:pPr>
    </w:p>
    <w:p w14:paraId="13058814" w14:textId="77777777" w:rsidR="00C65C2E" w:rsidRDefault="00C65C2E" w:rsidP="0077253B">
      <w:pPr>
        <w:spacing w:line="240" w:lineRule="auto"/>
        <w:ind w:left="720"/>
        <w:contextualSpacing/>
        <w:rPr>
          <w:szCs w:val="24"/>
        </w:rPr>
      </w:pPr>
    </w:p>
    <w:p w14:paraId="3A30307A" w14:textId="77777777" w:rsidR="00C65C2E" w:rsidRPr="009D1779" w:rsidRDefault="00C65C2E" w:rsidP="00C65C2E">
      <w:pPr>
        <w:spacing w:after="0" w:line="240" w:lineRule="auto"/>
        <w:ind w:left="720"/>
        <w:contextualSpacing/>
        <w:rPr>
          <w:sz w:val="22"/>
          <w:szCs w:val="24"/>
        </w:rPr>
      </w:pPr>
      <w:r w:rsidRPr="009D1779">
        <w:rPr>
          <w:sz w:val="22"/>
          <w:szCs w:val="24"/>
        </w:rPr>
        <w:t>MW (</w:t>
      </w:r>
      <w:proofErr w:type="spellStart"/>
      <w:proofErr w:type="gramStart"/>
      <w:r w:rsidRPr="009D1779">
        <w:rPr>
          <w:sz w:val="22"/>
          <w:szCs w:val="24"/>
        </w:rPr>
        <w:t>th</w:t>
      </w:r>
      <w:proofErr w:type="spellEnd"/>
      <w:proofErr w:type="gramEnd"/>
      <w:r w:rsidRPr="009D1779">
        <w:rPr>
          <w:sz w:val="22"/>
          <w:szCs w:val="24"/>
        </w:rPr>
        <w:t>) is the megawatt thermal (in MW)</w:t>
      </w:r>
    </w:p>
    <w:p w14:paraId="53F6723D" w14:textId="57E6762E" w:rsidR="00C65C2E" w:rsidRDefault="007D5D8D" w:rsidP="0077253B">
      <w:pPr>
        <w:spacing w:line="240" w:lineRule="auto"/>
        <w:ind w:left="720"/>
        <w:contextualSpacing/>
        <w:rPr>
          <w:szCs w:val="24"/>
        </w:rPr>
      </w:pPr>
      <w:r>
        <w:rPr>
          <w:szCs w:val="24"/>
        </w:rPr>
        <w:t>S is steam output in (k</w:t>
      </w:r>
      <w:r w:rsidR="00B73562">
        <w:rPr>
          <w:szCs w:val="24"/>
        </w:rPr>
        <w:t>g</w:t>
      </w:r>
      <w:r>
        <w:rPr>
          <w:szCs w:val="24"/>
        </w:rPr>
        <w:t>/s)</w:t>
      </w:r>
    </w:p>
    <w:p w14:paraId="7EC6B826" w14:textId="42BA418E" w:rsidR="007D5D8D" w:rsidRDefault="007D5D8D" w:rsidP="0077253B">
      <w:pPr>
        <w:spacing w:line="240" w:lineRule="auto"/>
        <w:ind w:left="720"/>
        <w:contextualSpacing/>
        <w:rPr>
          <w:szCs w:val="24"/>
        </w:rPr>
      </w:pPr>
      <w:proofErr w:type="spellStart"/>
      <w:proofErr w:type="gramStart"/>
      <w:r>
        <w:rPr>
          <w:szCs w:val="24"/>
        </w:rPr>
        <w:t>h</w:t>
      </w:r>
      <w:r w:rsidRPr="00843622">
        <w:rPr>
          <w:szCs w:val="24"/>
          <w:vertAlign w:val="subscript"/>
        </w:rPr>
        <w:t>s</w:t>
      </w:r>
      <w:r>
        <w:rPr>
          <w:szCs w:val="24"/>
          <w:vertAlign w:val="subscript"/>
        </w:rPr>
        <w:t>,</w:t>
      </w:r>
      <w:proofErr w:type="gramEnd"/>
      <w:r>
        <w:rPr>
          <w:szCs w:val="24"/>
          <w:vertAlign w:val="subscript"/>
        </w:rPr>
        <w:t>i</w:t>
      </w:r>
      <w:proofErr w:type="spellEnd"/>
      <w:r>
        <w:rPr>
          <w:szCs w:val="24"/>
        </w:rPr>
        <w:t xml:space="preserve"> is the enthalpy of steam at absolute pressure </w:t>
      </w:r>
      <w:r w:rsidR="00486C00">
        <w:rPr>
          <w:szCs w:val="24"/>
        </w:rPr>
        <w:t>I (</w:t>
      </w:r>
      <w:r w:rsidR="00B73562">
        <w:rPr>
          <w:szCs w:val="24"/>
        </w:rPr>
        <w:t>kJ/kg)</w:t>
      </w:r>
    </w:p>
    <w:p w14:paraId="0BE00849" w14:textId="0FCB2FF3" w:rsidR="007D5D8D" w:rsidRDefault="007D5D8D" w:rsidP="0077253B">
      <w:pPr>
        <w:spacing w:line="240" w:lineRule="auto"/>
        <w:ind w:left="720"/>
        <w:contextualSpacing/>
        <w:rPr>
          <w:szCs w:val="24"/>
        </w:rPr>
      </w:pPr>
      <w:r>
        <w:rPr>
          <w:szCs w:val="24"/>
        </w:rPr>
        <w:t xml:space="preserve">L is </w:t>
      </w:r>
      <w:r w:rsidR="005D10CB">
        <w:rPr>
          <w:szCs w:val="24"/>
        </w:rPr>
        <w:t>the</w:t>
      </w:r>
      <w:r w:rsidR="00486C00">
        <w:rPr>
          <w:szCs w:val="24"/>
        </w:rPr>
        <w:t xml:space="preserve"> thermal loss of the system</w:t>
      </w:r>
      <w:r w:rsidR="005D10CB">
        <w:rPr>
          <w:szCs w:val="24"/>
        </w:rPr>
        <w:t xml:space="preserve"> as a percentage</w:t>
      </w:r>
    </w:p>
    <w:p w14:paraId="1F1194DC" w14:textId="2AAEBBD8" w:rsidR="00B73562" w:rsidRDefault="00B73562" w:rsidP="0077253B">
      <w:pPr>
        <w:spacing w:line="240" w:lineRule="auto"/>
        <w:ind w:left="720"/>
        <w:contextualSpacing/>
        <w:rPr>
          <w:szCs w:val="24"/>
        </w:rPr>
      </w:pPr>
      <w:r>
        <w:rPr>
          <w:szCs w:val="24"/>
        </w:rPr>
        <w:t xml:space="preserve">1 000 is used to convert kW (i.e. </w:t>
      </w:r>
      <w:r w:rsidR="00AE0E7D">
        <w:rPr>
          <w:szCs w:val="24"/>
        </w:rPr>
        <w:t>kJ/s</w:t>
      </w:r>
      <w:r>
        <w:rPr>
          <w:szCs w:val="24"/>
        </w:rPr>
        <w:t>) to MW</w:t>
      </w:r>
    </w:p>
    <w:p w14:paraId="09DA328C" w14:textId="77777777" w:rsidR="0077253B" w:rsidRPr="00D150F9" w:rsidRDefault="0077253B" w:rsidP="00843622">
      <w:pPr>
        <w:spacing w:line="240" w:lineRule="auto"/>
        <w:ind w:left="720"/>
        <w:contextualSpacing/>
        <w:rPr>
          <w:szCs w:val="24"/>
        </w:rPr>
      </w:pPr>
    </w:p>
    <w:p w14:paraId="53A2DF89" w14:textId="46B7F108" w:rsidR="0073323E" w:rsidRPr="00FA7138" w:rsidRDefault="0073323E" w:rsidP="009D08FD">
      <w:pPr>
        <w:numPr>
          <w:ilvl w:val="0"/>
          <w:numId w:val="7"/>
        </w:numPr>
        <w:spacing w:line="240" w:lineRule="auto"/>
        <w:contextualSpacing/>
        <w:rPr>
          <w:b/>
          <w:color w:val="006600"/>
          <w:szCs w:val="24"/>
          <w:u w:val="single"/>
        </w:rPr>
      </w:pPr>
      <w:r w:rsidRPr="00FA7138">
        <w:rPr>
          <w:b/>
          <w:color w:val="006600"/>
          <w:szCs w:val="24"/>
          <w:u w:val="single"/>
        </w:rPr>
        <w:t>Input based approach</w:t>
      </w:r>
      <w:r w:rsidR="00E50927">
        <w:rPr>
          <w:b/>
          <w:color w:val="006600"/>
          <w:szCs w:val="24"/>
          <w:u w:val="single"/>
        </w:rPr>
        <w:t xml:space="preserve"> </w:t>
      </w:r>
    </w:p>
    <w:p w14:paraId="2A665B05" w14:textId="77777777" w:rsidR="0073323E" w:rsidRPr="00D150F9" w:rsidRDefault="0073323E" w:rsidP="0073323E">
      <w:pPr>
        <w:spacing w:line="240" w:lineRule="auto"/>
        <w:ind w:left="720"/>
        <w:contextualSpacing/>
        <w:rPr>
          <w:szCs w:val="24"/>
        </w:rPr>
      </w:pPr>
    </w:p>
    <w:p w14:paraId="33BE96E6" w14:textId="19C5B8DD" w:rsidR="0073323E" w:rsidRPr="00D150F9" w:rsidRDefault="0073323E" w:rsidP="0073323E">
      <w:pPr>
        <w:keepNext/>
        <w:spacing w:line="240" w:lineRule="auto"/>
        <w:ind w:left="720"/>
        <w:contextualSpacing/>
        <w:rPr>
          <w:szCs w:val="24"/>
        </w:rPr>
      </w:pPr>
      <m:oMath>
        <m:r>
          <w:rPr>
            <w:rFonts w:ascii="Cambria Math" w:hAnsi="Cambria Math"/>
            <w:szCs w:val="24"/>
          </w:rPr>
          <m:t xml:space="preserve">MW </m:t>
        </m:r>
        <m:d>
          <m:dPr>
            <m:ctrlPr>
              <w:rPr>
                <w:rFonts w:ascii="Cambria Math" w:hAnsi="Cambria Math"/>
                <w:i/>
                <w:szCs w:val="24"/>
              </w:rPr>
            </m:ctrlPr>
          </m:dPr>
          <m:e>
            <m:r>
              <w:rPr>
                <w:rFonts w:ascii="Cambria Math" w:hAnsi="Cambria Math"/>
                <w:szCs w:val="24"/>
              </w:rPr>
              <m:t>th</m:t>
            </m:r>
          </m:e>
        </m:d>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m:t>
            </m:r>
          </m:sub>
        </m:sSub>
        <m:r>
          <w:rPr>
            <w:rFonts w:ascii="Cambria Math" w:hAnsi="Cambria Math"/>
            <w:szCs w:val="24"/>
          </w:rPr>
          <m:t>×NCV</m:t>
        </m:r>
      </m:oMath>
      <w:r w:rsidRPr="00D150F9">
        <w:rPr>
          <w:rFonts w:eastAsiaTheme="minorEastAsia"/>
          <w:szCs w:val="24"/>
        </w:rPr>
        <w:t xml:space="preserve"> </w:t>
      </w:r>
      <w:r w:rsidRPr="00D150F9">
        <w:rPr>
          <w:rFonts w:eastAsiaTheme="minorEastAsia"/>
          <w:szCs w:val="24"/>
        </w:rPr>
        <w:tab/>
      </w:r>
      <w:r w:rsidRPr="00D150F9">
        <w:rPr>
          <w:rFonts w:eastAsiaTheme="minorEastAsia"/>
          <w:szCs w:val="24"/>
        </w:rPr>
        <w:tab/>
      </w:r>
      <w:r w:rsidRPr="00D150F9">
        <w:rPr>
          <w:rFonts w:eastAsiaTheme="minorEastAsia"/>
          <w:szCs w:val="24"/>
        </w:rPr>
        <w:tab/>
      </w:r>
      <w:r w:rsidRPr="00D150F9">
        <w:rPr>
          <w:rFonts w:eastAsiaTheme="minorEastAsia"/>
          <w:szCs w:val="24"/>
        </w:rPr>
        <w:tab/>
      </w:r>
      <w:r w:rsidRPr="00D150F9">
        <w:rPr>
          <w:rFonts w:eastAsiaTheme="minorEastAsia"/>
          <w:szCs w:val="24"/>
        </w:rPr>
        <w:tab/>
        <w:t>[</w:t>
      </w:r>
      <w:r w:rsidRPr="00D150F9">
        <w:rPr>
          <w:szCs w:val="24"/>
        </w:rPr>
        <w:fldChar w:fldCharType="begin"/>
      </w:r>
      <w:r w:rsidRPr="00D150F9">
        <w:rPr>
          <w:szCs w:val="24"/>
        </w:rPr>
        <w:instrText xml:space="preserve"> SEQ Equation \* ARABIC </w:instrText>
      </w:r>
      <w:r w:rsidRPr="00D150F9">
        <w:rPr>
          <w:szCs w:val="24"/>
        </w:rPr>
        <w:fldChar w:fldCharType="separate"/>
      </w:r>
      <w:r w:rsidR="00580700">
        <w:rPr>
          <w:noProof/>
          <w:szCs w:val="24"/>
        </w:rPr>
        <w:t>1</w:t>
      </w:r>
      <w:r w:rsidRPr="00D150F9">
        <w:rPr>
          <w:szCs w:val="24"/>
        </w:rPr>
        <w:fldChar w:fldCharType="end"/>
      </w:r>
      <w:r w:rsidRPr="00D150F9">
        <w:rPr>
          <w:szCs w:val="24"/>
        </w:rPr>
        <w:t>]</w:t>
      </w:r>
    </w:p>
    <w:p w14:paraId="31AFC55B" w14:textId="77777777" w:rsidR="0073323E" w:rsidRPr="00D150F9" w:rsidRDefault="0073323E" w:rsidP="0073323E">
      <w:pPr>
        <w:keepNext/>
        <w:spacing w:line="240" w:lineRule="auto"/>
        <w:ind w:left="720"/>
        <w:contextualSpacing/>
        <w:rPr>
          <w:szCs w:val="24"/>
        </w:rPr>
      </w:pPr>
    </w:p>
    <w:p w14:paraId="3F32F8B1" w14:textId="0DB603B8" w:rsidR="0073323E" w:rsidRPr="009D1779" w:rsidRDefault="00FA026D" w:rsidP="009D1779">
      <w:pPr>
        <w:spacing w:after="0" w:line="240" w:lineRule="auto"/>
        <w:ind w:left="720"/>
        <w:contextualSpacing/>
        <w:rPr>
          <w:sz w:val="22"/>
          <w:szCs w:val="24"/>
        </w:rPr>
      </w:pPr>
      <w:r w:rsidRPr="009D1779">
        <w:rPr>
          <w:sz w:val="22"/>
          <w:szCs w:val="24"/>
        </w:rPr>
        <w:t>MW (</w:t>
      </w:r>
      <w:proofErr w:type="spellStart"/>
      <w:r w:rsidR="009D1779" w:rsidRPr="009D1779">
        <w:rPr>
          <w:sz w:val="22"/>
          <w:szCs w:val="24"/>
        </w:rPr>
        <w:t>th</w:t>
      </w:r>
      <w:proofErr w:type="spellEnd"/>
      <w:r w:rsidR="000F217C" w:rsidRPr="009D1779">
        <w:rPr>
          <w:sz w:val="22"/>
          <w:szCs w:val="24"/>
        </w:rPr>
        <w:t>) is</w:t>
      </w:r>
      <w:r w:rsidR="0073323E" w:rsidRPr="009D1779">
        <w:rPr>
          <w:sz w:val="22"/>
          <w:szCs w:val="24"/>
        </w:rPr>
        <w:t xml:space="preserve"> the megawatt thermal (in MW)</w:t>
      </w:r>
    </w:p>
    <w:p w14:paraId="313100AB" w14:textId="50B57E67" w:rsidR="009D1779" w:rsidRPr="009D1779" w:rsidRDefault="0073323E" w:rsidP="00EF11C9">
      <w:pPr>
        <w:spacing w:after="0" w:line="240" w:lineRule="auto"/>
        <w:ind w:left="720"/>
        <w:rPr>
          <w:sz w:val="22"/>
        </w:rPr>
      </w:pPr>
      <w:r w:rsidRPr="6932588F">
        <w:rPr>
          <w:sz w:val="22"/>
        </w:rPr>
        <w:t>m</w:t>
      </w:r>
      <w:r w:rsidRPr="6932588F">
        <w:rPr>
          <w:sz w:val="22"/>
          <w:vertAlign w:val="subscript"/>
        </w:rPr>
        <w:t>F</w:t>
      </w:r>
      <w:r w:rsidR="009D1779" w:rsidRPr="6932588F">
        <w:rPr>
          <w:sz w:val="22"/>
        </w:rPr>
        <w:t xml:space="preserve"> </w:t>
      </w:r>
      <w:r w:rsidRPr="6932588F">
        <w:rPr>
          <w:sz w:val="22"/>
        </w:rPr>
        <w:t xml:space="preserve">is </w:t>
      </w:r>
      <w:r w:rsidR="00EF11C9" w:rsidRPr="6932588F">
        <w:rPr>
          <w:sz w:val="22"/>
        </w:rPr>
        <w:t>the</w:t>
      </w:r>
      <w:r w:rsidRPr="6932588F">
        <w:rPr>
          <w:sz w:val="22"/>
        </w:rPr>
        <w:t xml:space="preserve"> fuel consumption or gravimetric fuel rate (in kg/s)</w:t>
      </w:r>
      <w:r w:rsidR="00EF11C9" w:rsidRPr="6932588F">
        <w:rPr>
          <w:sz w:val="22"/>
        </w:rPr>
        <w:t>.</w:t>
      </w:r>
      <w:r w:rsidR="0077253B" w:rsidRPr="6932588F">
        <w:rPr>
          <w:sz w:val="22"/>
        </w:rPr>
        <w:t xml:space="preserve"> </w:t>
      </w:r>
      <w:r w:rsidR="00EF11C9" w:rsidRPr="6932588F">
        <w:rPr>
          <w:sz w:val="22"/>
        </w:rPr>
        <w:t>Value used should be the design input fuel rate, as per the design specifications, and not actual usage.</w:t>
      </w:r>
      <w:r w:rsidRPr="6932588F">
        <w:rPr>
          <w:sz w:val="22"/>
        </w:rPr>
        <w:t xml:space="preserve"> </w:t>
      </w:r>
    </w:p>
    <w:p w14:paraId="1AF03568" w14:textId="3FF35F83" w:rsidR="0073323E" w:rsidRPr="009D1779" w:rsidRDefault="009D1779" w:rsidP="009D1779">
      <w:pPr>
        <w:spacing w:after="0" w:line="240" w:lineRule="auto"/>
        <w:ind w:firstLine="720"/>
        <w:rPr>
          <w:sz w:val="22"/>
          <w:szCs w:val="24"/>
        </w:rPr>
      </w:pPr>
      <w:r w:rsidRPr="009D1779">
        <w:rPr>
          <w:sz w:val="22"/>
          <w:szCs w:val="24"/>
        </w:rPr>
        <w:t xml:space="preserve">NCV </w:t>
      </w:r>
      <w:r w:rsidR="0073323E" w:rsidRPr="009D1779">
        <w:rPr>
          <w:sz w:val="22"/>
          <w:szCs w:val="24"/>
        </w:rPr>
        <w:t xml:space="preserve">is the Net calorific value (in MJ/kg) </w:t>
      </w:r>
    </w:p>
    <w:p w14:paraId="1BF1869A" w14:textId="77777777" w:rsidR="009D1779" w:rsidRPr="009D1779" w:rsidRDefault="009D1779" w:rsidP="009D1779">
      <w:pPr>
        <w:spacing w:after="0" w:line="240" w:lineRule="auto"/>
        <w:ind w:firstLine="720"/>
        <w:rPr>
          <w:sz w:val="22"/>
          <w:szCs w:val="24"/>
        </w:rPr>
      </w:pPr>
    </w:p>
    <w:p w14:paraId="2F8C1C0C" w14:textId="77777777" w:rsidR="0073323E" w:rsidRPr="00FA7138" w:rsidRDefault="0073323E" w:rsidP="009D08FD">
      <w:pPr>
        <w:numPr>
          <w:ilvl w:val="0"/>
          <w:numId w:val="7"/>
        </w:numPr>
        <w:spacing w:line="240" w:lineRule="auto"/>
        <w:contextualSpacing/>
        <w:rPr>
          <w:b/>
          <w:color w:val="006600"/>
          <w:szCs w:val="24"/>
          <w:u w:val="single"/>
        </w:rPr>
      </w:pPr>
      <w:r w:rsidRPr="00FA7138">
        <w:rPr>
          <w:b/>
          <w:color w:val="006600"/>
          <w:szCs w:val="24"/>
          <w:u w:val="single"/>
        </w:rPr>
        <w:t>Standby generator units</w:t>
      </w:r>
    </w:p>
    <w:p w14:paraId="2D1CC46A" w14:textId="77777777" w:rsidR="0073323E" w:rsidRPr="00D150F9" w:rsidRDefault="0073323E" w:rsidP="0073323E">
      <w:pPr>
        <w:spacing w:line="240" w:lineRule="auto"/>
        <w:ind w:left="720"/>
        <w:contextualSpacing/>
        <w:rPr>
          <w:szCs w:val="24"/>
        </w:rPr>
      </w:pPr>
    </w:p>
    <w:p w14:paraId="43A7D7FF" w14:textId="3D9A0FAB" w:rsidR="0073323E" w:rsidRPr="00D150F9" w:rsidRDefault="0073323E" w:rsidP="0073323E">
      <w:pPr>
        <w:spacing w:line="240" w:lineRule="auto"/>
        <w:ind w:left="720"/>
        <w:contextualSpacing/>
        <w:jc w:val="both"/>
        <w:rPr>
          <w:szCs w:val="24"/>
        </w:rPr>
      </w:pPr>
      <w:r w:rsidRPr="00D150F9">
        <w:rPr>
          <w:szCs w:val="24"/>
        </w:rPr>
        <w:t xml:space="preserve">Uses output based methodology. Since </w:t>
      </w:r>
      <w:r w:rsidR="000F217C" w:rsidRPr="00D150F9">
        <w:rPr>
          <w:szCs w:val="24"/>
        </w:rPr>
        <w:t>MW (</w:t>
      </w:r>
      <w:proofErr w:type="spellStart"/>
      <w:r w:rsidRPr="00D150F9">
        <w:rPr>
          <w:szCs w:val="24"/>
        </w:rPr>
        <w:t>th</w:t>
      </w:r>
      <w:proofErr w:type="spellEnd"/>
      <w:r w:rsidRPr="00D150F9">
        <w:rPr>
          <w:szCs w:val="24"/>
        </w:rPr>
        <w:t xml:space="preserve">) is a mechanical rating, one has to find the electrical rating first and then calculate the mechanical rating. </w:t>
      </w:r>
    </w:p>
    <w:p w14:paraId="1916220A" w14:textId="77777777" w:rsidR="0073323E" w:rsidRPr="00D150F9" w:rsidRDefault="0073323E" w:rsidP="0073323E">
      <w:pPr>
        <w:spacing w:line="240" w:lineRule="auto"/>
        <w:ind w:left="720"/>
        <w:contextualSpacing/>
        <w:jc w:val="both"/>
        <w:rPr>
          <w:szCs w:val="24"/>
        </w:rPr>
      </w:pPr>
    </w:p>
    <w:p w14:paraId="0124894B" w14:textId="77777777" w:rsidR="0073323E" w:rsidRPr="00FA7138" w:rsidRDefault="0073323E" w:rsidP="0073323E">
      <w:pPr>
        <w:spacing w:line="240" w:lineRule="auto"/>
        <w:ind w:left="720"/>
        <w:contextualSpacing/>
        <w:jc w:val="both"/>
        <w:rPr>
          <w:b/>
          <w:color w:val="006600"/>
          <w:szCs w:val="24"/>
          <w:u w:val="single"/>
        </w:rPr>
      </w:pPr>
      <w:r w:rsidRPr="00FA7138">
        <w:rPr>
          <w:b/>
          <w:color w:val="006600"/>
          <w:szCs w:val="24"/>
          <w:u w:val="single"/>
        </w:rPr>
        <w:t>Calculating electrical power rating</w:t>
      </w:r>
    </w:p>
    <w:p w14:paraId="71B3A370" w14:textId="77777777" w:rsidR="0073323E" w:rsidRPr="00D150F9" w:rsidRDefault="0073323E" w:rsidP="0073323E">
      <w:pPr>
        <w:spacing w:line="240" w:lineRule="auto"/>
        <w:ind w:left="720"/>
        <w:contextualSpacing/>
        <w:jc w:val="both"/>
        <w:rPr>
          <w:b/>
          <w:szCs w:val="24"/>
          <w:u w:val="single"/>
        </w:rPr>
      </w:pPr>
    </w:p>
    <w:p w14:paraId="1391EB70" w14:textId="1AEB1B11" w:rsidR="0073323E" w:rsidRPr="00D150F9" w:rsidRDefault="0073323E" w:rsidP="0073323E">
      <w:pPr>
        <w:spacing w:line="240" w:lineRule="auto"/>
        <w:ind w:left="720"/>
        <w:contextualSpacing/>
        <w:jc w:val="both"/>
        <w:rPr>
          <w:szCs w:val="24"/>
        </w:rPr>
      </w:pPr>
      <w:r w:rsidRPr="00D150F9">
        <w:rPr>
          <w:szCs w:val="24"/>
        </w:rPr>
        <w:t xml:space="preserve">Since </w:t>
      </w:r>
      <w:r w:rsidR="00A66BBB">
        <w:rPr>
          <w:szCs w:val="24"/>
        </w:rPr>
        <w:t xml:space="preserve">the </w:t>
      </w:r>
      <w:r w:rsidRPr="00D150F9">
        <w:rPr>
          <w:szCs w:val="24"/>
        </w:rPr>
        <w:t xml:space="preserve">capacity </w:t>
      </w:r>
      <w:r w:rsidR="00A66BBB">
        <w:rPr>
          <w:szCs w:val="24"/>
        </w:rPr>
        <w:t xml:space="preserve">of </w:t>
      </w:r>
      <w:r w:rsidRPr="00D150F9">
        <w:rPr>
          <w:szCs w:val="24"/>
        </w:rPr>
        <w:t xml:space="preserve">most standby generators are given in kilovolts Ampere (kVA), use </w:t>
      </w:r>
      <w:r w:rsidR="00A66BBB">
        <w:rPr>
          <w:szCs w:val="24"/>
        </w:rPr>
        <w:t xml:space="preserve">the </w:t>
      </w:r>
      <w:r w:rsidRPr="00D150F9">
        <w:rPr>
          <w:szCs w:val="24"/>
        </w:rPr>
        <w:t xml:space="preserve">power factor you know for your network/load. If you don’t know your own power factor, use 0.8 as a default power factor.  Use Equation [2] to calculate the rated electrical power: </w:t>
      </w:r>
    </w:p>
    <w:p w14:paraId="6001EE58" w14:textId="77777777" w:rsidR="0073323E" w:rsidRPr="00D150F9" w:rsidRDefault="0073323E" w:rsidP="0073323E">
      <w:pPr>
        <w:spacing w:line="240" w:lineRule="auto"/>
        <w:ind w:left="720"/>
        <w:contextualSpacing/>
        <w:jc w:val="both"/>
        <w:rPr>
          <w:szCs w:val="24"/>
        </w:rPr>
      </w:pPr>
    </w:p>
    <w:p w14:paraId="45218AD2" w14:textId="4C3FFBF3" w:rsidR="0073323E" w:rsidRPr="00D150F9" w:rsidRDefault="00161F7F" w:rsidP="0073323E">
      <w:pPr>
        <w:keepNext/>
        <w:spacing w:line="240" w:lineRule="auto"/>
        <w:ind w:left="720"/>
        <w:contextualSpacing/>
        <w:rPr>
          <w:szCs w:val="24"/>
        </w:rPr>
      </w:p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e(r)</m:t>
            </m:r>
          </m:sub>
        </m:sSub>
        <m:r>
          <w:rPr>
            <w:rFonts w:ascii="Cambria Math" w:hAnsi="Cambria Math"/>
            <w:szCs w:val="24"/>
          </w:rPr>
          <m:t>=power factor×kVA</m:t>
        </m:r>
      </m:oMath>
      <w:r w:rsidR="0073323E" w:rsidRPr="00D150F9">
        <w:rPr>
          <w:rFonts w:asciiTheme="minorHAnsi" w:eastAsiaTheme="minorEastAsia" w:hAnsiTheme="minorHAnsi"/>
          <w:szCs w:val="24"/>
        </w:rPr>
        <w:t xml:space="preserve"> </w:t>
      </w:r>
      <w:r w:rsidR="0073323E" w:rsidRPr="00D150F9">
        <w:rPr>
          <w:rFonts w:asciiTheme="minorHAnsi" w:eastAsiaTheme="minorEastAsia" w:hAnsiTheme="minorHAnsi"/>
          <w:szCs w:val="24"/>
        </w:rPr>
        <w:tab/>
      </w:r>
      <w:r w:rsidR="0073323E" w:rsidRPr="00D150F9">
        <w:rPr>
          <w:rFonts w:asciiTheme="minorHAnsi" w:eastAsiaTheme="minorEastAsia" w:hAnsiTheme="minorHAnsi"/>
          <w:szCs w:val="24"/>
        </w:rPr>
        <w:tab/>
      </w:r>
      <w:r w:rsidR="0073323E" w:rsidRPr="00D150F9">
        <w:rPr>
          <w:rFonts w:asciiTheme="minorHAnsi" w:eastAsiaTheme="minorEastAsia" w:hAnsiTheme="minorHAnsi"/>
          <w:szCs w:val="24"/>
        </w:rPr>
        <w:tab/>
      </w:r>
      <w:r w:rsidR="0073323E" w:rsidRPr="00D150F9">
        <w:rPr>
          <w:rFonts w:asciiTheme="minorHAnsi" w:eastAsiaTheme="minorEastAsia" w:hAnsiTheme="minorHAnsi"/>
          <w:szCs w:val="24"/>
        </w:rPr>
        <w:tab/>
        <w:t>[</w:t>
      </w:r>
      <w:r w:rsidR="0073323E" w:rsidRPr="00D150F9">
        <w:rPr>
          <w:szCs w:val="24"/>
        </w:rPr>
        <w:fldChar w:fldCharType="begin"/>
      </w:r>
      <w:r w:rsidR="0073323E" w:rsidRPr="00D150F9">
        <w:rPr>
          <w:szCs w:val="24"/>
        </w:rPr>
        <w:instrText xml:space="preserve"> SEQ Equation \* ARABIC </w:instrText>
      </w:r>
      <w:r w:rsidR="0073323E" w:rsidRPr="00D150F9">
        <w:rPr>
          <w:szCs w:val="24"/>
        </w:rPr>
        <w:fldChar w:fldCharType="separate"/>
      </w:r>
      <w:r w:rsidR="00580700">
        <w:rPr>
          <w:noProof/>
          <w:szCs w:val="24"/>
        </w:rPr>
        <w:t>2</w:t>
      </w:r>
      <w:r w:rsidR="0073323E" w:rsidRPr="00D150F9">
        <w:rPr>
          <w:szCs w:val="24"/>
        </w:rPr>
        <w:fldChar w:fldCharType="end"/>
      </w:r>
      <w:r w:rsidR="0073323E" w:rsidRPr="00D150F9">
        <w:rPr>
          <w:szCs w:val="24"/>
        </w:rPr>
        <w:t>]</w:t>
      </w:r>
    </w:p>
    <w:p w14:paraId="32D786DC" w14:textId="77777777" w:rsidR="0073323E" w:rsidRPr="00D150F9" w:rsidRDefault="0073323E" w:rsidP="0073323E">
      <w:pPr>
        <w:spacing w:line="240" w:lineRule="auto"/>
        <w:ind w:left="720"/>
        <w:contextualSpacing/>
        <w:jc w:val="both"/>
        <w:rPr>
          <w:szCs w:val="24"/>
        </w:rPr>
      </w:pPr>
    </w:p>
    <w:p w14:paraId="115D8755" w14:textId="1AE1DF70" w:rsidR="0073323E" w:rsidRPr="00D150F9" w:rsidRDefault="0073323E" w:rsidP="00365BEC">
      <w:pPr>
        <w:ind w:left="720"/>
        <w:rPr>
          <w:szCs w:val="24"/>
        </w:rPr>
      </w:pPr>
      <w:r w:rsidRPr="00D150F9">
        <w:rPr>
          <w:szCs w:val="24"/>
        </w:rPr>
        <w:t xml:space="preserve">Where </w:t>
      </w:r>
      <m:oMath>
        <m:sSub>
          <m:sSubPr>
            <m:ctrlPr>
              <w:rPr>
                <w:rFonts w:ascii="Cambria Math" w:hAnsi="Cambria Math"/>
                <w:szCs w:val="24"/>
              </w:rPr>
            </m:ctrlPr>
          </m:sSubPr>
          <m:e>
            <m:r>
              <w:rPr>
                <w:rFonts w:ascii="Cambria Math" w:hAnsi="Cambria Math"/>
                <w:szCs w:val="24"/>
              </w:rPr>
              <m:t>P</m:t>
            </m:r>
          </m:e>
          <m:sub>
            <m:r>
              <w:rPr>
                <w:rFonts w:ascii="Cambria Math" w:hAnsi="Cambria Math"/>
                <w:szCs w:val="24"/>
              </w:rPr>
              <m:t>e</m:t>
            </m:r>
            <m:r>
              <m:rPr>
                <m:sty m:val="p"/>
              </m:rPr>
              <w:rPr>
                <w:rFonts w:ascii="Cambria Math" w:hAnsi="Cambria Math"/>
                <w:szCs w:val="24"/>
              </w:rPr>
              <m:t>(</m:t>
            </m:r>
            <m:r>
              <w:rPr>
                <w:rFonts w:ascii="Cambria Math" w:hAnsi="Cambria Math"/>
                <w:szCs w:val="24"/>
              </w:rPr>
              <m:t>r</m:t>
            </m:r>
            <m:r>
              <m:rPr>
                <m:sty m:val="p"/>
              </m:rPr>
              <w:rPr>
                <w:rFonts w:ascii="Cambria Math" w:hAnsi="Cambria Math"/>
                <w:szCs w:val="24"/>
              </w:rPr>
              <m:t>)</m:t>
            </m:r>
          </m:sub>
        </m:sSub>
      </m:oMath>
      <w:r w:rsidRPr="00D150F9">
        <w:rPr>
          <w:szCs w:val="24"/>
        </w:rPr>
        <w:t xml:space="preserve"> is the Rated electrical power (kW), </w:t>
      </w:r>
      <w:r w:rsidR="00365BEC">
        <w:rPr>
          <w:szCs w:val="24"/>
        </w:rPr>
        <w:t xml:space="preserve">power factor is 0.8 and </w:t>
      </w:r>
      <w:r w:rsidRPr="00D150F9">
        <w:rPr>
          <w:szCs w:val="24"/>
        </w:rPr>
        <w:t xml:space="preserve">kVA is the kilovolt Amperes rating. </w:t>
      </w:r>
    </w:p>
    <w:p w14:paraId="4C1D8073" w14:textId="1FF184B9" w:rsidR="0073323E" w:rsidRPr="00D150F9" w:rsidRDefault="0073323E" w:rsidP="0073323E">
      <w:pPr>
        <w:ind w:left="720"/>
        <w:rPr>
          <w:szCs w:val="24"/>
        </w:rPr>
      </w:pPr>
      <w:r w:rsidRPr="00D150F9">
        <w:rPr>
          <w:szCs w:val="24"/>
        </w:rPr>
        <w:t xml:space="preserve">Then this electrical power ( </w:t>
      </w:r>
      <m:oMath>
        <m:sSub>
          <m:sSubPr>
            <m:ctrlPr>
              <w:rPr>
                <w:rFonts w:ascii="Cambria Math" w:hAnsi="Cambria Math"/>
                <w:szCs w:val="24"/>
              </w:rPr>
            </m:ctrlPr>
          </m:sSubPr>
          <m:e>
            <m:r>
              <w:rPr>
                <w:rFonts w:ascii="Cambria Math" w:hAnsi="Cambria Math"/>
                <w:szCs w:val="24"/>
              </w:rPr>
              <m:t>P</m:t>
            </m:r>
          </m:e>
          <m:sub>
            <m:r>
              <w:rPr>
                <w:rFonts w:ascii="Cambria Math" w:hAnsi="Cambria Math"/>
                <w:szCs w:val="24"/>
              </w:rPr>
              <m:t>e</m:t>
            </m:r>
            <m:r>
              <m:rPr>
                <m:sty m:val="p"/>
              </m:rPr>
              <w:rPr>
                <w:rFonts w:ascii="Cambria Math" w:hAnsi="Cambria Math"/>
                <w:szCs w:val="24"/>
              </w:rPr>
              <m:t>(</m:t>
            </m:r>
            <m:r>
              <w:rPr>
                <w:rFonts w:ascii="Cambria Math" w:hAnsi="Cambria Math"/>
                <w:szCs w:val="24"/>
              </w:rPr>
              <m:t>r</m:t>
            </m:r>
            <m:r>
              <m:rPr>
                <m:sty m:val="p"/>
              </m:rPr>
              <w:rPr>
                <w:rFonts w:ascii="Cambria Math" w:hAnsi="Cambria Math"/>
                <w:szCs w:val="24"/>
              </w:rPr>
              <m:t>)</m:t>
            </m:r>
          </m:sub>
        </m:sSub>
      </m:oMath>
      <w:r w:rsidRPr="00D150F9">
        <w:rPr>
          <w:szCs w:val="24"/>
        </w:rPr>
        <w:t xml:space="preserve">) must be converted to mechanical power to take account of efficiency and Equation [3] is used </w:t>
      </w:r>
    </w:p>
    <w:p w14:paraId="13B6BF3E" w14:textId="35D90122" w:rsidR="00FA7138" w:rsidRDefault="00161F7F" w:rsidP="00FA7138">
      <w:pPr>
        <w:ind w:left="720"/>
        <w:rPr>
          <w:szCs w:val="24"/>
        </w:rPr>
      </w:pP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MW(th)</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e(r)</m:t>
                </m:r>
              </m:sub>
            </m:sSub>
            <m:r>
              <w:rPr>
                <w:rFonts w:ascii="Cambria Math" w:hAnsi="Cambria Math"/>
                <w:sz w:val="32"/>
                <w:szCs w:val="32"/>
              </w:rPr>
              <m:t>×</m:t>
            </m:r>
            <m:f>
              <m:fPr>
                <m:type m:val="skw"/>
                <m:ctrlPr>
                  <w:rPr>
                    <w:rFonts w:ascii="Cambria Math" w:hAnsi="Cambria Math"/>
                    <w:i/>
                    <w:sz w:val="32"/>
                    <w:szCs w:val="32"/>
                  </w:rPr>
                </m:ctrlPr>
              </m:fPr>
              <m:num>
                <m:r>
                  <w:rPr>
                    <w:rFonts w:ascii="Cambria Math" w:hAnsi="Cambria Math"/>
                    <w:sz w:val="32"/>
                    <w:szCs w:val="32"/>
                  </w:rPr>
                  <m:t>100</m:t>
                </m:r>
              </m:num>
              <m:den>
                <m:sSub>
                  <m:sSubPr>
                    <m:ctrlPr>
                      <w:rPr>
                        <w:rFonts w:ascii="Cambria Math" w:hAnsi="Cambria Math"/>
                        <w:i/>
                        <w:sz w:val="32"/>
                        <w:szCs w:val="32"/>
                      </w:rPr>
                    </m:ctrlPr>
                  </m:sSubPr>
                  <m:e>
                    <m:r>
                      <w:rPr>
                        <w:rFonts w:ascii="Cambria Math" w:hAnsi="Cambria Math"/>
                        <w:sz w:val="32"/>
                        <w:szCs w:val="32"/>
                      </w:rPr>
                      <m:t>η</m:t>
                    </m:r>
                  </m:e>
                  <m:sub>
                    <m:r>
                      <w:rPr>
                        <w:rFonts w:ascii="Cambria Math" w:hAnsi="Cambria Math"/>
                        <w:sz w:val="32"/>
                        <w:szCs w:val="32"/>
                      </w:rPr>
                      <m:t>e</m:t>
                    </m:r>
                  </m:sub>
                </m:sSub>
                <m:r>
                  <m:rPr>
                    <m:sty m:val="p"/>
                  </m:rPr>
                  <w:rPr>
                    <w:rFonts w:ascii="Cambria Math" w:eastAsiaTheme="minorEastAsia" w:hAnsi="Cambria Math"/>
                    <w:sz w:val="32"/>
                    <w:szCs w:val="32"/>
                  </w:rPr>
                  <m:t xml:space="preserve"> </m:t>
                </m:r>
              </m:den>
            </m:f>
          </m:num>
          <m:den>
            <m:r>
              <w:rPr>
                <w:rFonts w:ascii="Cambria Math" w:hAnsi="Cambria Math"/>
                <w:sz w:val="32"/>
                <w:szCs w:val="32"/>
              </w:rPr>
              <m:t>1 000</m:t>
            </m:r>
          </m:den>
        </m:f>
      </m:oMath>
      <w:r w:rsidR="0073323E" w:rsidRPr="00365BEC">
        <w:rPr>
          <w:rFonts w:asciiTheme="minorHAnsi" w:eastAsiaTheme="minorEastAsia" w:hAnsiTheme="minorHAnsi"/>
          <w:szCs w:val="24"/>
        </w:rPr>
        <w:t xml:space="preserve"> </w:t>
      </w:r>
      <w:r w:rsidR="0073323E" w:rsidRPr="00D150F9">
        <w:rPr>
          <w:rFonts w:asciiTheme="minorHAnsi" w:eastAsiaTheme="minorEastAsia" w:hAnsiTheme="minorHAnsi"/>
          <w:szCs w:val="24"/>
        </w:rPr>
        <w:tab/>
      </w:r>
      <w:r w:rsidR="0073323E" w:rsidRPr="00D150F9">
        <w:rPr>
          <w:rFonts w:asciiTheme="minorHAnsi" w:eastAsiaTheme="minorEastAsia" w:hAnsiTheme="minorHAnsi"/>
          <w:szCs w:val="24"/>
        </w:rPr>
        <w:tab/>
      </w:r>
      <w:r w:rsidR="0073323E" w:rsidRPr="00D150F9">
        <w:rPr>
          <w:rFonts w:asciiTheme="minorHAnsi" w:eastAsiaTheme="minorEastAsia" w:hAnsiTheme="minorHAnsi"/>
          <w:szCs w:val="24"/>
        </w:rPr>
        <w:tab/>
      </w:r>
      <w:r w:rsidR="0073323E" w:rsidRPr="00D150F9">
        <w:rPr>
          <w:rFonts w:asciiTheme="minorHAnsi" w:eastAsiaTheme="minorEastAsia" w:hAnsiTheme="minorHAnsi"/>
          <w:szCs w:val="24"/>
        </w:rPr>
        <w:tab/>
      </w:r>
      <w:r w:rsidR="0073323E" w:rsidRPr="00D150F9">
        <w:rPr>
          <w:rFonts w:asciiTheme="minorHAnsi" w:eastAsiaTheme="minorEastAsia" w:hAnsiTheme="minorHAnsi"/>
          <w:szCs w:val="24"/>
        </w:rPr>
        <w:tab/>
      </w:r>
      <w:r w:rsidR="0073323E" w:rsidRPr="66BB88F1">
        <w:rPr>
          <w:rFonts w:asciiTheme="minorHAnsi" w:eastAsiaTheme="minorEastAsia" w:hAnsiTheme="minorHAnsi"/>
        </w:rPr>
        <w:t>[</w:t>
      </w:r>
      <w:r w:rsidR="0073323E" w:rsidRPr="00D150F9">
        <w:rPr>
          <w:szCs w:val="24"/>
        </w:rPr>
        <w:fldChar w:fldCharType="begin"/>
      </w:r>
      <w:r w:rsidR="0073323E" w:rsidRPr="00D150F9">
        <w:rPr>
          <w:szCs w:val="24"/>
        </w:rPr>
        <w:instrText xml:space="preserve"> SEQ Equation \* ARABIC </w:instrText>
      </w:r>
      <w:r w:rsidR="0073323E" w:rsidRPr="00D150F9">
        <w:rPr>
          <w:szCs w:val="24"/>
        </w:rPr>
        <w:fldChar w:fldCharType="separate"/>
      </w:r>
      <w:r w:rsidR="00580700" w:rsidRPr="66BB88F1">
        <w:rPr>
          <w:noProof/>
        </w:rPr>
        <w:t>3</w:t>
      </w:r>
      <w:r w:rsidR="0073323E" w:rsidRPr="00D150F9">
        <w:rPr>
          <w:szCs w:val="24"/>
        </w:rPr>
        <w:fldChar w:fldCharType="end"/>
      </w:r>
      <w:r w:rsidR="0073323E" w:rsidRPr="00D150F9">
        <w:rPr>
          <w:szCs w:val="24"/>
        </w:rPr>
        <w:t>]</w:t>
      </w:r>
    </w:p>
    <w:p w14:paraId="4C0A185C" w14:textId="4E7B4301" w:rsidR="00555681" w:rsidRDefault="0073323E" w:rsidP="00FA7138">
      <w:pPr>
        <w:ind w:left="720"/>
      </w:pPr>
      <w:r w:rsidRPr="00D150F9">
        <w:rPr>
          <w:szCs w:val="24"/>
        </w:rPr>
        <w:t xml:space="preserve">Where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MW(th)</m:t>
            </m:r>
          </m:sub>
        </m:sSub>
      </m:oMath>
      <w:r w:rsidRPr="00D150F9">
        <w:rPr>
          <w:szCs w:val="24"/>
        </w:rPr>
        <w:t xml:space="preserve"> is Megawatt thermal input (</w:t>
      </w:r>
      <w:r w:rsidR="00FA026D" w:rsidRPr="00D150F9">
        <w:rPr>
          <w:szCs w:val="24"/>
        </w:rPr>
        <w:t>MW (</w:t>
      </w:r>
      <w:proofErr w:type="spellStart"/>
      <w:r w:rsidRPr="00D150F9">
        <w:rPr>
          <w:szCs w:val="24"/>
        </w:rPr>
        <w:t>th</w:t>
      </w:r>
      <w:proofErr w:type="spellEnd"/>
      <w:r w:rsidRPr="00D150F9">
        <w:rPr>
          <w:szCs w:val="24"/>
        </w:rPr>
        <w:t xml:space="preserve">)) and </w:t>
      </w:r>
      <m:oMath>
        <m:sSub>
          <m:sSubPr>
            <m:ctrlPr>
              <w:rPr>
                <w:rFonts w:ascii="Cambria Math" w:hAnsi="Cambria Math"/>
                <w:i/>
                <w:szCs w:val="24"/>
              </w:rPr>
            </m:ctrlPr>
          </m:sSubPr>
          <m:e>
            <m:r>
              <w:rPr>
                <w:rFonts w:ascii="Cambria Math" w:hAnsi="Cambria Math"/>
                <w:szCs w:val="24"/>
              </w:rPr>
              <m:t>η</m:t>
            </m:r>
          </m:e>
          <m:sub>
            <m:r>
              <w:rPr>
                <w:rFonts w:ascii="Cambria Math" w:hAnsi="Cambria Math"/>
                <w:szCs w:val="24"/>
              </w:rPr>
              <m:t>e</m:t>
            </m:r>
          </m:sub>
        </m:sSub>
      </m:oMath>
      <w:r w:rsidRPr="00D150F9">
        <w:rPr>
          <w:rFonts w:eastAsiaTheme="minorEastAsia"/>
          <w:szCs w:val="24"/>
        </w:rPr>
        <w:t xml:space="preserve"> is the efficiency </w:t>
      </w:r>
      <w:r w:rsidRPr="00555681">
        <w:t xml:space="preserve">(%). </w:t>
      </w:r>
    </w:p>
    <w:p w14:paraId="3236B101" w14:textId="330D7F2C" w:rsidR="00081F45" w:rsidRDefault="00081F45" w:rsidP="00FA7138">
      <w:pPr>
        <w:ind w:left="720"/>
      </w:pPr>
    </w:p>
    <w:p w14:paraId="27D479C7" w14:textId="693F759A" w:rsidR="003B2944" w:rsidRPr="003B2944" w:rsidRDefault="003B2944" w:rsidP="003B2944">
      <w:pPr>
        <w:ind w:left="720"/>
        <w:rPr>
          <w:sz w:val="20"/>
          <w:szCs w:val="20"/>
        </w:rPr>
      </w:pPr>
      <w:r w:rsidRPr="003B2944">
        <w:rPr>
          <w:sz w:val="20"/>
          <w:szCs w:val="20"/>
        </w:rPr>
        <w:t xml:space="preserve">Table </w:t>
      </w:r>
      <w:r w:rsidRPr="003B2944">
        <w:rPr>
          <w:sz w:val="20"/>
          <w:szCs w:val="20"/>
        </w:rPr>
        <w:fldChar w:fldCharType="begin"/>
      </w:r>
      <w:r w:rsidRPr="003B2944">
        <w:rPr>
          <w:sz w:val="20"/>
          <w:szCs w:val="20"/>
        </w:rPr>
        <w:instrText>SEQ Table \* ARABIC</w:instrText>
      </w:r>
      <w:r w:rsidRPr="003B2944">
        <w:rPr>
          <w:sz w:val="20"/>
          <w:szCs w:val="20"/>
        </w:rPr>
        <w:fldChar w:fldCharType="separate"/>
      </w:r>
      <w:r w:rsidRPr="003B2944">
        <w:rPr>
          <w:sz w:val="20"/>
          <w:szCs w:val="20"/>
        </w:rPr>
        <w:t>1</w:t>
      </w:r>
      <w:r w:rsidRPr="003B2944">
        <w:rPr>
          <w:sz w:val="20"/>
          <w:szCs w:val="20"/>
        </w:rPr>
        <w:fldChar w:fldCharType="end"/>
      </w:r>
      <w:r w:rsidRPr="003B2944">
        <w:rPr>
          <w:sz w:val="20"/>
          <w:szCs w:val="20"/>
        </w:rPr>
        <w:t>: Effective efficiencies</w:t>
      </w:r>
    </w:p>
    <w:p w14:paraId="2EF82EBB" w14:textId="10145439" w:rsidR="00555681" w:rsidRPr="00555681" w:rsidRDefault="00555681" w:rsidP="004A707E">
      <w:pPr>
        <w:ind w:left="720"/>
        <w:jc w:val="center"/>
      </w:pPr>
      <w:r w:rsidRPr="00A20557">
        <w:rPr>
          <w:rFonts w:asciiTheme="minorHAnsi" w:hAnsiTheme="minorHAnsi"/>
          <w:noProof/>
          <w:color w:val="4C4635" w:themeColor="text2" w:themeShade="BF"/>
          <w:sz w:val="21"/>
          <w:lang w:val="en-ZA" w:eastAsia="en-ZA"/>
        </w:rPr>
        <w:drawing>
          <wp:inline distT="0" distB="0" distL="0" distR="0" wp14:anchorId="559B971C" wp14:editId="67C10CF9">
            <wp:extent cx="3543300" cy="2590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36" t="1078" r="569" b="1127"/>
                    <a:stretch/>
                  </pic:blipFill>
                  <pic:spPr bwMode="auto">
                    <a:xfrm>
                      <a:off x="0" y="0"/>
                      <a:ext cx="3562812" cy="26050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51B17B" w14:textId="77777777" w:rsidR="0004278D" w:rsidRDefault="0004278D" w:rsidP="00236E0D"/>
    <w:p w14:paraId="1E28FE0C" w14:textId="4FEB2DD2" w:rsidR="002126CB" w:rsidRDefault="00864366" w:rsidP="009D08FD">
      <w:pPr>
        <w:pStyle w:val="Heading2"/>
        <w:numPr>
          <w:ilvl w:val="1"/>
          <w:numId w:val="6"/>
        </w:numPr>
        <w:jc w:val="both"/>
      </w:pPr>
      <w:bookmarkStart w:id="515" w:name="_Toc95209863"/>
      <w:bookmarkStart w:id="516" w:name="_Toc109812411"/>
      <w:r>
        <w:t>Do I include the</w:t>
      </w:r>
      <w:r w:rsidR="00661EAE">
        <w:t xml:space="preserve"> Net Heat Input of backup stationary combustion installations in the</w:t>
      </w:r>
      <w:r w:rsidR="00D768EA">
        <w:t xml:space="preserve"> total</w:t>
      </w:r>
      <w:r w:rsidR="007B77BB">
        <w:t xml:space="preserve"> combined</w:t>
      </w:r>
      <w:r w:rsidR="002126CB">
        <w:t xml:space="preserve"> input, even though the installation has never been used/ is rarely ever used?</w:t>
      </w:r>
      <w:bookmarkEnd w:id="515"/>
      <w:bookmarkEnd w:id="516"/>
    </w:p>
    <w:p w14:paraId="3FED26C6" w14:textId="20770AF1" w:rsidR="0004278D" w:rsidRDefault="002126CB" w:rsidP="002126CB">
      <w:r>
        <w:t>Yes. The NGERs require that all combustion installations that are present must be considered when determin</w:t>
      </w:r>
      <w:r w:rsidR="00610ACF">
        <w:t>ing</w:t>
      </w:r>
      <w:r w:rsidR="005D10CB">
        <w:t xml:space="preserve"> </w:t>
      </w:r>
      <w:r>
        <w:t xml:space="preserve">the combined Net Heat Input </w:t>
      </w:r>
      <w:r w:rsidR="001C3FAB">
        <w:t>for the facility or Data Provider.</w:t>
      </w:r>
      <w:r w:rsidR="0004278D">
        <w:t xml:space="preserve"> </w:t>
      </w:r>
    </w:p>
    <w:p w14:paraId="26966216" w14:textId="397B5611" w:rsidR="00F57E99" w:rsidRPr="00F57E99" w:rsidRDefault="001D47A7" w:rsidP="00F57E99">
      <w:pPr>
        <w:pStyle w:val="Heading2"/>
        <w:numPr>
          <w:ilvl w:val="1"/>
          <w:numId w:val="0"/>
        </w:numPr>
        <w:ind w:left="432" w:hanging="432"/>
        <w:rPr>
          <w:color w:val="00B050"/>
        </w:rPr>
      </w:pPr>
      <w:bookmarkStart w:id="517" w:name="_Toc95209879"/>
      <w:bookmarkStart w:id="518" w:name="_Toc109812412"/>
      <w:r>
        <w:t>3.6. I</w:t>
      </w:r>
      <w:r w:rsidR="00F57E99" w:rsidRPr="00843622">
        <w:t xml:space="preserve">f the boilers are each below </w:t>
      </w:r>
      <w:r w:rsidR="01EAAD63">
        <w:t>10MWth</w:t>
      </w:r>
      <w:r w:rsidR="00F57E99" w:rsidRPr="00843622">
        <w:t>, do they still need to be registered and reported on?</w:t>
      </w:r>
      <w:bookmarkEnd w:id="517"/>
      <w:bookmarkEnd w:id="518"/>
    </w:p>
    <w:p w14:paraId="723D9B57" w14:textId="77777777" w:rsidR="00F57E99" w:rsidRDefault="00F57E99" w:rsidP="00F57E99">
      <w:pPr>
        <w:jc w:val="both"/>
      </w:pPr>
      <w:r>
        <w:rPr>
          <w:lang w:val="en-ZA"/>
        </w:rPr>
        <w:t>T</w:t>
      </w:r>
      <w:r w:rsidRPr="00284904">
        <w:rPr>
          <w:lang w:val="en-ZA"/>
        </w:rPr>
        <w:t>he t</w:t>
      </w:r>
      <w:r>
        <w:rPr>
          <w:lang w:val="en-ZA"/>
        </w:rPr>
        <w:t>hreshold is applicable at a Data provider level not at facility level</w:t>
      </w:r>
      <w:r w:rsidRPr="006C3249">
        <w:t xml:space="preserve">. This is the </w:t>
      </w:r>
      <w:r>
        <w:t>sum</w:t>
      </w:r>
      <w:r w:rsidRPr="006C3249">
        <w:t xml:space="preserve"> of all installed capacities.</w:t>
      </w:r>
      <w:r>
        <w:rPr>
          <w:lang w:val="en-ZA"/>
        </w:rPr>
        <w:t xml:space="preserve"> A</w:t>
      </w:r>
      <w:r w:rsidRPr="00284904">
        <w:rPr>
          <w:lang w:val="en-ZA"/>
        </w:rPr>
        <w:t xml:space="preserve">s a data provider </w:t>
      </w:r>
      <w:r>
        <w:rPr>
          <w:lang w:val="en-ZA"/>
        </w:rPr>
        <w:t xml:space="preserve">you have to register and report activities under your operational control </w:t>
      </w:r>
      <w:r w:rsidRPr="00284904">
        <w:rPr>
          <w:lang w:val="en-ZA"/>
        </w:rPr>
        <w:t>as mandated by the National Greenhouse Gas (GHG) Emissions Reporting Regulations of 3rd April 2017, Notice No. 40762.</w:t>
      </w:r>
      <w:r>
        <w:rPr>
          <w:lang w:val="en-ZA"/>
        </w:rPr>
        <w:t xml:space="preserve"> </w:t>
      </w:r>
      <w:r w:rsidRPr="00103A7F">
        <w:t>Category A: any person in control of or conducting an activity marked in the Category A column above the capacity given in the threshold column of the table in Annexure 1 to these Regulations.</w:t>
      </w:r>
      <w:r>
        <w:t xml:space="preserve"> </w:t>
      </w:r>
      <w:r w:rsidRPr="00103A7F">
        <w:t>“Operational control” means a data provider has operational control or another company if it, or one of its subsidiaries, has the full authority to introduce and implement its operating policies at the company</w:t>
      </w:r>
      <w:r>
        <w:t>.</w:t>
      </w:r>
    </w:p>
    <w:p w14:paraId="5EF85D6D" w14:textId="77777777" w:rsidR="0004278D" w:rsidRPr="0004278D" w:rsidRDefault="0004278D" w:rsidP="00236E0D"/>
    <w:p w14:paraId="1DD83C22" w14:textId="6196EEBD" w:rsidR="00320ECE" w:rsidRPr="007F2859" w:rsidRDefault="002609B8" w:rsidP="009D08FD">
      <w:pPr>
        <w:pStyle w:val="Heading1"/>
        <w:numPr>
          <w:ilvl w:val="0"/>
          <w:numId w:val="6"/>
        </w:numPr>
      </w:pPr>
      <w:bookmarkStart w:id="519" w:name="_Toc95209864"/>
      <w:bookmarkStart w:id="520" w:name="_Toc109812413"/>
      <w:r w:rsidRPr="00555681">
        <w:t>Reporting Questions</w:t>
      </w:r>
      <w:bookmarkStart w:id="521" w:name="_Toc55195715"/>
      <w:bookmarkStart w:id="522" w:name="_Toc55221291"/>
      <w:bookmarkStart w:id="523" w:name="_Toc55222280"/>
      <w:bookmarkStart w:id="524" w:name="_Toc55817314"/>
      <w:bookmarkStart w:id="525" w:name="_Toc55896674"/>
      <w:bookmarkStart w:id="526" w:name="_Toc55905030"/>
      <w:bookmarkStart w:id="527" w:name="_Toc55905140"/>
      <w:bookmarkStart w:id="528" w:name="_Toc55988569"/>
      <w:bookmarkStart w:id="529" w:name="_Toc56121622"/>
      <w:bookmarkStart w:id="530" w:name="_Toc56152969"/>
      <w:bookmarkStart w:id="531" w:name="_Toc57007893"/>
      <w:bookmarkStart w:id="532" w:name="_Toc55988570"/>
      <w:bookmarkStart w:id="533" w:name="_Toc56121623"/>
      <w:bookmarkStart w:id="534" w:name="_Toc56152970"/>
      <w:bookmarkStart w:id="535" w:name="_Toc57007894"/>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4757B341" w14:textId="3013C2F5" w:rsidR="001814F6" w:rsidRPr="00320ECE" w:rsidRDefault="00B967B9" w:rsidP="009D08FD">
      <w:pPr>
        <w:pStyle w:val="Heading2"/>
        <w:numPr>
          <w:ilvl w:val="1"/>
          <w:numId w:val="11"/>
        </w:numPr>
        <w:jc w:val="both"/>
      </w:pPr>
      <w:bookmarkStart w:id="536" w:name="_Toc95209865"/>
      <w:r>
        <w:t xml:space="preserve"> </w:t>
      </w:r>
      <w:bookmarkStart w:id="537" w:name="_Toc109812414"/>
      <w:r w:rsidR="001814F6" w:rsidRPr="00320ECE">
        <w:t>Are there any penalties for not reporting a facilities GHG emission</w:t>
      </w:r>
      <w:r w:rsidR="00AA29F3">
        <w:t>s</w:t>
      </w:r>
      <w:r w:rsidR="001814F6" w:rsidRPr="00320ECE">
        <w:t xml:space="preserve"> via SAGERS within the prescribed period?</w:t>
      </w:r>
      <w:bookmarkEnd w:id="536"/>
      <w:bookmarkEnd w:id="537"/>
      <w:r w:rsidR="001814F6" w:rsidRPr="00320ECE">
        <w:t xml:space="preserve"> </w:t>
      </w:r>
    </w:p>
    <w:p w14:paraId="1E4C47F8" w14:textId="64D2F1DC" w:rsidR="001814F6" w:rsidRDefault="001814F6" w:rsidP="001814F6">
      <w:pPr>
        <w:jc w:val="both"/>
      </w:pPr>
      <w:r w:rsidRPr="00F70A84">
        <w:t>Non-compliance is always enforceable as per</w:t>
      </w:r>
      <w:r w:rsidR="004A707E">
        <w:t xml:space="preserve"> the National Environment Management Act</w:t>
      </w:r>
      <w:r w:rsidRPr="00F70A84">
        <w:t xml:space="preserve"> </w:t>
      </w:r>
      <w:r w:rsidR="004A707E">
        <w:t>(</w:t>
      </w:r>
      <w:r w:rsidRPr="00F70A84">
        <w:t>NEMA</w:t>
      </w:r>
      <w:r w:rsidR="004A707E">
        <w:t>), 1998</w:t>
      </w:r>
      <w:r w:rsidRPr="00F70A84">
        <w:t xml:space="preserve">, </w:t>
      </w:r>
      <w:r w:rsidR="004A707E">
        <w:t xml:space="preserve">however </w:t>
      </w:r>
      <w:r w:rsidRPr="00F70A84">
        <w:t>there is no timeframe given for such enforcement to happen, and it does not expire.</w:t>
      </w:r>
      <w:r>
        <w:t xml:space="preserve"> As per the </w:t>
      </w:r>
      <w:r w:rsidR="004A707E">
        <w:t>NGERs</w:t>
      </w:r>
      <w:r>
        <w:t>, the following penalties applies to non-conformance:</w:t>
      </w:r>
    </w:p>
    <w:p w14:paraId="4BD8D01F" w14:textId="6124E652" w:rsidR="008F1642" w:rsidRPr="008F1642" w:rsidRDefault="32898965" w:rsidP="003D1DAA">
      <w:pPr>
        <w:jc w:val="both"/>
      </w:pPr>
      <w:r>
        <w:t>A person convicted of an offence in terms of regulation 16 of these Regulations is liable in the</w:t>
      </w:r>
      <w:r w:rsidR="5814413A">
        <w:t xml:space="preserve"> </w:t>
      </w:r>
      <w:r>
        <w:t>case of a first conviction to a fine not exceeding R5 million or to imprisonment for a period not</w:t>
      </w:r>
      <w:r w:rsidR="5814413A">
        <w:t xml:space="preserve"> </w:t>
      </w:r>
      <w:r>
        <w:t>exceeding five years and in the case of a second or subsequent conviction to a fine not exceeding</w:t>
      </w:r>
      <w:r w:rsidR="5814413A">
        <w:t xml:space="preserve"> </w:t>
      </w:r>
      <w:r>
        <w:t>R10 million or imprisonment for a period not exceeding 10 years and in respect of both instances</w:t>
      </w:r>
      <w:r w:rsidR="5814413A">
        <w:t xml:space="preserve"> </w:t>
      </w:r>
      <w:r>
        <w:t>to both such fine and such imprisonment.</w:t>
      </w:r>
      <w:bookmarkStart w:id="538" w:name="_Toc55221293"/>
      <w:bookmarkStart w:id="539" w:name="_Toc55222282"/>
      <w:bookmarkStart w:id="540" w:name="_Toc55817316"/>
      <w:bookmarkStart w:id="541" w:name="_Toc55896676"/>
      <w:bookmarkStart w:id="542" w:name="_Toc55221294"/>
      <w:bookmarkStart w:id="543" w:name="_Toc55222283"/>
      <w:bookmarkStart w:id="544" w:name="_Toc55817317"/>
      <w:bookmarkStart w:id="545" w:name="_Toc55896677"/>
      <w:bookmarkStart w:id="546" w:name="_Toc55905032"/>
      <w:bookmarkStart w:id="547" w:name="_Toc55905142"/>
      <w:bookmarkStart w:id="548" w:name="_Toc55221295"/>
      <w:bookmarkStart w:id="549" w:name="_Toc55222284"/>
      <w:bookmarkStart w:id="550" w:name="_Toc55817318"/>
      <w:bookmarkStart w:id="551" w:name="_Toc55896678"/>
      <w:bookmarkStart w:id="552" w:name="_Toc55905033"/>
      <w:bookmarkStart w:id="553" w:name="_Toc55905143"/>
      <w:bookmarkStart w:id="554" w:name="_Toc55221296"/>
      <w:bookmarkStart w:id="555" w:name="_Toc55222285"/>
      <w:bookmarkStart w:id="556" w:name="_Toc55817319"/>
      <w:bookmarkStart w:id="557" w:name="_Toc55896679"/>
      <w:bookmarkStart w:id="558" w:name="_Toc55905034"/>
      <w:bookmarkStart w:id="559" w:name="_Toc55905144"/>
      <w:bookmarkStart w:id="560" w:name="_Toc55221297"/>
      <w:bookmarkStart w:id="561" w:name="_Toc55222286"/>
      <w:bookmarkStart w:id="562" w:name="_Toc55817320"/>
      <w:bookmarkStart w:id="563" w:name="_Toc55896680"/>
      <w:bookmarkStart w:id="564" w:name="_Toc55905035"/>
      <w:bookmarkStart w:id="565" w:name="_Toc55905145"/>
      <w:bookmarkStart w:id="566" w:name="_Toc55221298"/>
      <w:bookmarkStart w:id="567" w:name="_Toc55222287"/>
      <w:bookmarkStart w:id="568" w:name="_Toc55817321"/>
      <w:bookmarkStart w:id="569" w:name="_Toc55896681"/>
      <w:bookmarkStart w:id="570" w:name="_Toc55905036"/>
      <w:bookmarkStart w:id="571" w:name="_Toc55905146"/>
      <w:bookmarkStart w:id="572" w:name="_Toc55221299"/>
      <w:bookmarkStart w:id="573" w:name="_Toc55222288"/>
      <w:bookmarkStart w:id="574" w:name="_Toc55817322"/>
      <w:bookmarkStart w:id="575" w:name="_Toc55896682"/>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9EDA289" w14:textId="68CF802E" w:rsidR="5829AAB2" w:rsidRPr="00B967B9" w:rsidRDefault="00B967B9" w:rsidP="009D08FD">
      <w:pPr>
        <w:pStyle w:val="Heading2"/>
        <w:numPr>
          <w:ilvl w:val="1"/>
          <w:numId w:val="11"/>
        </w:numPr>
      </w:pPr>
      <w:r>
        <w:t xml:space="preserve"> </w:t>
      </w:r>
      <w:bookmarkStart w:id="576" w:name="_Toc109812415"/>
      <w:r w:rsidRPr="00B967B9">
        <w:t>What is the difference between a reporting period and a reporting cycle?</w:t>
      </w:r>
      <w:bookmarkEnd w:id="576"/>
    </w:p>
    <w:p w14:paraId="3EBD0C05" w14:textId="6A392ABC" w:rsidR="00266C7B" w:rsidRPr="007121DE" w:rsidRDefault="5829AAB2" w:rsidP="00D52EC8">
      <w:pPr>
        <w:pStyle w:val="ListParagraph"/>
        <w:keepNext/>
        <w:ind w:left="0" w:firstLine="0"/>
        <w:jc w:val="both"/>
        <w:outlineLvl w:val="1"/>
        <w:rPr>
          <w:rFonts w:eastAsia="Arial Narrow" w:cs="Arial Narrow"/>
          <w:color w:val="auto"/>
        </w:rPr>
      </w:pPr>
      <w:bookmarkStart w:id="577" w:name="_Toc109812416"/>
      <w:r w:rsidRPr="259884D6">
        <w:rPr>
          <w:rFonts w:eastAsia="Arial Narrow" w:cs="Arial Narrow"/>
          <w:color w:val="auto"/>
        </w:rPr>
        <w:t xml:space="preserve">A </w:t>
      </w:r>
      <w:r w:rsidR="53A909E6" w:rsidRPr="259884D6">
        <w:rPr>
          <w:rFonts w:eastAsia="Arial Narrow" w:cs="Arial Narrow"/>
          <w:color w:val="auto"/>
        </w:rPr>
        <w:t>“</w:t>
      </w:r>
      <w:r w:rsidRPr="259884D6">
        <w:rPr>
          <w:rFonts w:eastAsia="Arial Narrow" w:cs="Arial Narrow"/>
          <w:color w:val="auto"/>
        </w:rPr>
        <w:t xml:space="preserve">reporting </w:t>
      </w:r>
      <w:r w:rsidR="221656A4" w:rsidRPr="259884D6">
        <w:rPr>
          <w:rFonts w:eastAsia="Arial Narrow" w:cs="Arial Narrow"/>
          <w:color w:val="auto"/>
        </w:rPr>
        <w:t>period</w:t>
      </w:r>
      <w:r w:rsidR="078CDD5D" w:rsidRPr="259884D6">
        <w:rPr>
          <w:rFonts w:eastAsia="Arial Narrow" w:cs="Arial Narrow"/>
          <w:color w:val="auto"/>
        </w:rPr>
        <w:t>”</w:t>
      </w:r>
      <w:r w:rsidR="221656A4" w:rsidRPr="259884D6">
        <w:rPr>
          <w:rFonts w:eastAsia="Arial Narrow" w:cs="Arial Narrow"/>
          <w:color w:val="auto"/>
        </w:rPr>
        <w:t xml:space="preserve"> </w:t>
      </w:r>
      <w:r w:rsidR="4B28093A" w:rsidRPr="259884D6">
        <w:rPr>
          <w:rFonts w:eastAsia="Arial Narrow" w:cs="Arial Narrow"/>
          <w:color w:val="auto"/>
        </w:rPr>
        <w:t>is defined in the regulations as one calendar year. A reporting cycle is a term used purely internally by the DFFE</w:t>
      </w:r>
      <w:r w:rsidR="2B3A5303" w:rsidRPr="259884D6">
        <w:rPr>
          <w:rFonts w:eastAsia="Arial Narrow" w:cs="Arial Narrow"/>
          <w:color w:val="auto"/>
        </w:rPr>
        <w:t xml:space="preserve">. The reporting </w:t>
      </w:r>
      <w:r w:rsidR="20D74DF5" w:rsidRPr="259884D6">
        <w:rPr>
          <w:rFonts w:eastAsia="Arial Narrow" w:cs="Arial Narrow"/>
          <w:color w:val="auto"/>
        </w:rPr>
        <w:t>cycle</w:t>
      </w:r>
      <w:r w:rsidR="2B3A5303" w:rsidRPr="259884D6">
        <w:rPr>
          <w:rFonts w:eastAsia="Arial Narrow" w:cs="Arial Narrow"/>
          <w:color w:val="auto"/>
        </w:rPr>
        <w:t xml:space="preserve"> numeration follows the reporting </w:t>
      </w:r>
      <w:r w:rsidR="3C0646E4" w:rsidRPr="259884D6">
        <w:rPr>
          <w:rFonts w:eastAsia="Arial Narrow" w:cs="Arial Narrow"/>
          <w:color w:val="auto"/>
        </w:rPr>
        <w:t>period</w:t>
      </w:r>
      <w:r w:rsidR="2B3A5303" w:rsidRPr="259884D6">
        <w:rPr>
          <w:rFonts w:eastAsia="Arial Narrow" w:cs="Arial Narrow"/>
          <w:color w:val="auto"/>
        </w:rPr>
        <w:t xml:space="preserve"> by </w:t>
      </w:r>
      <w:r w:rsidR="70306520" w:rsidRPr="259884D6">
        <w:rPr>
          <w:rFonts w:eastAsia="Arial Narrow" w:cs="Arial Narrow"/>
          <w:color w:val="auto"/>
        </w:rPr>
        <w:t xml:space="preserve">one, I.e. the reporting cycle 2025 would indicate the usage of data that </w:t>
      </w:r>
      <w:r w:rsidR="23FC4C3C" w:rsidRPr="259884D6">
        <w:rPr>
          <w:rFonts w:eastAsia="Arial Narrow" w:cs="Arial Narrow"/>
          <w:color w:val="auto"/>
        </w:rPr>
        <w:t>was reported for the reporting period 2024.</w:t>
      </w:r>
      <w:bookmarkEnd w:id="577"/>
    </w:p>
    <w:p w14:paraId="75EDA9AA" w14:textId="3940E9EE" w:rsidR="004718EB" w:rsidRPr="00266C7B" w:rsidRDefault="008F1642" w:rsidP="009D08FD">
      <w:pPr>
        <w:pStyle w:val="Heading2"/>
        <w:numPr>
          <w:ilvl w:val="1"/>
          <w:numId w:val="11"/>
        </w:numPr>
      </w:pPr>
      <w:bookmarkStart w:id="578" w:name="_Toc95209866"/>
      <w:bookmarkStart w:id="579" w:name="_Toc109812417"/>
      <w:r w:rsidRPr="00266C7B">
        <w:t xml:space="preserve">How do I link a consultant to my profile to assist with </w:t>
      </w:r>
      <w:bookmarkEnd w:id="578"/>
      <w:r w:rsidR="00566117" w:rsidRPr="00266C7B">
        <w:t>reporting?</w:t>
      </w:r>
      <w:bookmarkEnd w:id="579"/>
    </w:p>
    <w:p w14:paraId="03F9488E" w14:textId="01745B38" w:rsidR="00B851A6" w:rsidRPr="003C4138" w:rsidRDefault="003C4138" w:rsidP="003C4138">
      <w:pPr>
        <w:rPr>
          <w:b/>
        </w:rPr>
      </w:pPr>
      <w:r>
        <w:rPr>
          <w:b/>
        </w:rPr>
        <w:t>Step 1:</w:t>
      </w:r>
      <w:r w:rsidRPr="00350852">
        <w:rPr>
          <w:b/>
        </w:rPr>
        <w:t xml:space="preserve"> </w:t>
      </w:r>
      <w:r>
        <w:rPr>
          <w:b/>
        </w:rPr>
        <w:t>On the dashboard, click on the “My Account” tab found on the left navigation pane</w:t>
      </w:r>
    </w:p>
    <w:p w14:paraId="609F6499" w14:textId="3487BB3B" w:rsidR="00B851A6" w:rsidRPr="003D1DAA" w:rsidRDefault="008E076A" w:rsidP="003D1DAA">
      <w:pPr>
        <w:pStyle w:val="ListParagraph"/>
        <w:ind w:left="289" w:hanging="289"/>
        <w:jc w:val="center"/>
        <w:rPr>
          <w:b/>
          <w:color w:val="C98711"/>
          <w:sz w:val="26"/>
          <w:szCs w:val="26"/>
        </w:rPr>
      </w:pPr>
      <w:r>
        <w:rPr>
          <w:b/>
          <w:noProof/>
          <w:color w:val="C98711"/>
          <w:sz w:val="26"/>
          <w:szCs w:val="26"/>
          <w:lang w:val="en-ZA" w:eastAsia="en-ZA"/>
        </w:rPr>
        <mc:AlternateContent>
          <mc:Choice Requires="wps">
            <w:drawing>
              <wp:anchor distT="0" distB="0" distL="114300" distR="114300" simplePos="0" relativeHeight="251658265" behindDoc="0" locked="0" layoutInCell="1" allowOverlap="1" wp14:anchorId="59D72C63" wp14:editId="6E250CAC">
                <wp:simplePos x="0" y="0"/>
                <wp:positionH relativeFrom="margin">
                  <wp:align>left</wp:align>
                </wp:positionH>
                <wp:positionV relativeFrom="paragraph">
                  <wp:posOffset>1994163</wp:posOffset>
                </wp:positionV>
                <wp:extent cx="676275" cy="238125"/>
                <wp:effectExtent l="19050" t="19050" r="28575" b="28575"/>
                <wp:wrapNone/>
                <wp:docPr id="179220" name="Rectangle 179220"/>
                <wp:cNvGraphicFramePr/>
                <a:graphic xmlns:a="http://schemas.openxmlformats.org/drawingml/2006/main">
                  <a:graphicData uri="http://schemas.microsoft.com/office/word/2010/wordprocessingShape">
                    <wps:wsp>
                      <wps:cNvSpPr/>
                      <wps:spPr>
                        <a:xfrm>
                          <a:off x="0" y="0"/>
                          <a:ext cx="6762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C80E1" id="Rectangle 179220" o:spid="_x0000_s1026" style="position:absolute;margin-left:0;margin-top:157pt;width:53.25pt;height:18.75pt;z-index:25165826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" filled="f" strokecolor="red" strokeweight="2.25pt">
                <w10:wrap anchorx="margin"/>
              </v:rect>
            </w:pict>
          </mc:Fallback>
        </mc:AlternateContent>
      </w:r>
      <w:r w:rsidRPr="00B851A6">
        <w:rPr>
          <w:b/>
          <w:noProof/>
          <w:color w:val="C98711"/>
          <w:sz w:val="26"/>
          <w:szCs w:val="26"/>
          <w:lang w:val="en-ZA" w:eastAsia="en-ZA"/>
        </w:rPr>
        <w:drawing>
          <wp:inline distT="0" distB="0" distL="0" distR="0" wp14:anchorId="37F0CF55" wp14:editId="1EDC00D2">
            <wp:extent cx="5259338" cy="2376805"/>
            <wp:effectExtent l="19050" t="19050" r="17780" b="23495"/>
            <wp:docPr id="179219" name="Picture 3">
              <a:extLst xmlns:a="http://schemas.openxmlformats.org/drawingml/2006/main">
                <a:ext uri="{FF2B5EF4-FFF2-40B4-BE49-F238E27FC236}">
                  <a16:creationId xmlns:a16="http://schemas.microsoft.com/office/drawing/2014/main" id="{2421CC70-360D-48A4-A32A-46CDB6A8A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21CC70-360D-48A4-A32A-46CDB6A8AD3B}"/>
                        </a:ext>
                      </a:extLst>
                    </pic:cNvPr>
                    <pic:cNvPicPr>
                      <a:picLocks noChangeAspect="1"/>
                    </pic:cNvPicPr>
                  </pic:nvPicPr>
                  <pic:blipFill>
                    <a:blip r:embed="rId33"/>
                    <a:stretch>
                      <a:fillRect/>
                    </a:stretch>
                  </pic:blipFill>
                  <pic:spPr>
                    <a:xfrm>
                      <a:off x="0" y="0"/>
                      <a:ext cx="5270273" cy="2381747"/>
                    </a:xfrm>
                    <a:prstGeom prst="rect">
                      <a:avLst/>
                    </a:prstGeom>
                    <a:ln>
                      <a:solidFill>
                        <a:schemeClr val="tx1"/>
                      </a:solidFill>
                    </a:ln>
                  </pic:spPr>
                </pic:pic>
              </a:graphicData>
            </a:graphic>
          </wp:inline>
        </w:drawing>
      </w:r>
    </w:p>
    <w:p w14:paraId="0D46E8E8" w14:textId="37E695E1" w:rsidR="003C4138" w:rsidRPr="00407744" w:rsidRDefault="00407744" w:rsidP="00407744">
      <w:pPr>
        <w:rPr>
          <w:b/>
        </w:rPr>
      </w:pPr>
      <w:r w:rsidRPr="00407744">
        <w:rPr>
          <w:b/>
        </w:rPr>
        <w:t xml:space="preserve">Step 2: </w:t>
      </w:r>
      <w:r>
        <w:rPr>
          <w:b/>
        </w:rPr>
        <w:t>Click on the “Consultant” at the top of the screen</w:t>
      </w:r>
    </w:p>
    <w:p w14:paraId="4093014A" w14:textId="3163EC2E" w:rsidR="003C4138" w:rsidRPr="003D1DAA" w:rsidRDefault="007C65FA" w:rsidP="003D1DAA">
      <w:pPr>
        <w:pStyle w:val="ListParagraph"/>
        <w:ind w:left="289" w:hanging="289"/>
        <w:jc w:val="center"/>
        <w:rPr>
          <w:b/>
          <w:color w:val="C98711"/>
          <w:sz w:val="26"/>
          <w:szCs w:val="26"/>
        </w:rPr>
      </w:pPr>
      <w:r>
        <w:rPr>
          <w:b/>
          <w:noProof/>
          <w:color w:val="C98711"/>
          <w:sz w:val="26"/>
          <w:szCs w:val="26"/>
          <w:lang w:val="en-ZA" w:eastAsia="en-ZA"/>
        </w:rPr>
        <mc:AlternateContent>
          <mc:Choice Requires="wps">
            <w:drawing>
              <wp:anchor distT="0" distB="0" distL="114300" distR="114300" simplePos="0" relativeHeight="251658266" behindDoc="0" locked="0" layoutInCell="1" allowOverlap="1" wp14:anchorId="5D9D8459" wp14:editId="4605F5D5">
                <wp:simplePos x="0" y="0"/>
                <wp:positionH relativeFrom="column">
                  <wp:posOffset>1204140</wp:posOffset>
                </wp:positionH>
                <wp:positionV relativeFrom="paragraph">
                  <wp:posOffset>9525</wp:posOffset>
                </wp:positionV>
                <wp:extent cx="466725" cy="238125"/>
                <wp:effectExtent l="0" t="0" r="28575" b="28575"/>
                <wp:wrapNone/>
                <wp:docPr id="179231" name="Rectangle 179231"/>
                <wp:cNvGraphicFramePr/>
                <a:graphic xmlns:a="http://schemas.openxmlformats.org/drawingml/2006/main">
                  <a:graphicData uri="http://schemas.microsoft.com/office/word/2010/wordprocessingShape">
                    <wps:wsp>
                      <wps:cNvSpPr/>
                      <wps:spPr>
                        <a:xfrm>
                          <a:off x="0" y="0"/>
                          <a:ext cx="4667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C6608" id="Rectangle 179231" o:spid="_x0000_s1026" style="position:absolute;margin-left:94.8pt;margin-top:.75pt;width:36.75pt;height:18.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" filled="f" strokecolor="red" strokeweight="2pt"/>
            </w:pict>
          </mc:Fallback>
        </mc:AlternateContent>
      </w:r>
      <w:r w:rsidRPr="00407744">
        <w:rPr>
          <w:b/>
          <w:noProof/>
          <w:color w:val="C98711"/>
          <w:sz w:val="26"/>
          <w:szCs w:val="26"/>
          <w:lang w:val="en-ZA" w:eastAsia="en-ZA"/>
        </w:rPr>
        <w:drawing>
          <wp:inline distT="0" distB="0" distL="0" distR="0" wp14:anchorId="1143782D" wp14:editId="769BF64E">
            <wp:extent cx="5287992" cy="1180980"/>
            <wp:effectExtent l="19050" t="19050" r="8255" b="19685"/>
            <wp:docPr id="179221" name="Picture 4">
              <a:extLst xmlns:a="http://schemas.openxmlformats.org/drawingml/2006/main">
                <a:ext uri="{FF2B5EF4-FFF2-40B4-BE49-F238E27FC236}">
                  <a16:creationId xmlns:a16="http://schemas.microsoft.com/office/drawing/2014/main" id="{BA346C23-D2DB-407E-9027-0682C03B3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A346C23-D2DB-407E-9027-0682C03B3E36}"/>
                        </a:ext>
                      </a:extLst>
                    </pic:cNvPr>
                    <pic:cNvPicPr>
                      <a:picLocks noChangeAspect="1"/>
                    </pic:cNvPicPr>
                  </pic:nvPicPr>
                  <pic:blipFill>
                    <a:blip r:embed="rId60"/>
                    <a:stretch>
                      <a:fillRect/>
                    </a:stretch>
                  </pic:blipFill>
                  <pic:spPr>
                    <a:xfrm>
                      <a:off x="0" y="0"/>
                      <a:ext cx="5334006" cy="1191256"/>
                    </a:xfrm>
                    <a:prstGeom prst="rect">
                      <a:avLst/>
                    </a:prstGeom>
                    <a:ln>
                      <a:solidFill>
                        <a:schemeClr val="tx1"/>
                      </a:solidFill>
                    </a:ln>
                  </pic:spPr>
                </pic:pic>
              </a:graphicData>
            </a:graphic>
          </wp:inline>
        </w:drawing>
      </w:r>
    </w:p>
    <w:p w14:paraId="5CAFBA3E" w14:textId="47E553C7" w:rsidR="007C65FA" w:rsidRDefault="007C65FA" w:rsidP="007C65FA">
      <w:pPr>
        <w:rPr>
          <w:b/>
        </w:rPr>
      </w:pPr>
      <w:r>
        <w:rPr>
          <w:b/>
        </w:rPr>
        <w:t>Step 3</w:t>
      </w:r>
      <w:r w:rsidRPr="00407744">
        <w:rPr>
          <w:b/>
        </w:rPr>
        <w:t xml:space="preserve">: </w:t>
      </w:r>
      <w:r>
        <w:rPr>
          <w:b/>
        </w:rPr>
        <w:t xml:space="preserve">Insert the </w:t>
      </w:r>
      <w:r w:rsidR="00566117" w:rsidRPr="00566117">
        <w:rPr>
          <w:b/>
        </w:rPr>
        <w:t>email address</w:t>
      </w:r>
      <w:r>
        <w:rPr>
          <w:b/>
        </w:rPr>
        <w:t xml:space="preserve"> of the consultant you want to associate and click on the “Find Consultant” button</w:t>
      </w:r>
    </w:p>
    <w:p w14:paraId="50A996FD" w14:textId="0F9A9074" w:rsidR="007C65FA" w:rsidRDefault="007C65FA" w:rsidP="00487070">
      <w:pPr>
        <w:jc w:val="both"/>
        <w:rPr>
          <w:b/>
          <w:color w:val="C98711"/>
          <w:sz w:val="26"/>
          <w:szCs w:val="26"/>
          <w:lang w:val="en-ZA"/>
        </w:rPr>
      </w:pPr>
      <w:r>
        <w:t>It’s important to note that the consultant needs to have register</w:t>
      </w:r>
      <w:r w:rsidR="00566117">
        <w:t>ed</w:t>
      </w:r>
      <w:r>
        <w:t xml:space="preserve"> on the SAGERS Portal before you </w:t>
      </w:r>
      <w:r w:rsidR="00487070">
        <w:t>search for their email address, as their information needs to be a part of the SAGERS database</w:t>
      </w:r>
    </w:p>
    <w:p w14:paraId="6FFD5BD6" w14:textId="07EA4A8E" w:rsidR="007C65FA" w:rsidRPr="00353EBD" w:rsidRDefault="007C65FA" w:rsidP="00353EBD">
      <w:r>
        <w:rPr>
          <w:b/>
          <w:noProof/>
          <w:color w:val="C98711"/>
          <w:sz w:val="26"/>
          <w:szCs w:val="26"/>
          <w:lang w:val="en-ZA" w:eastAsia="en-ZA"/>
        </w:rPr>
        <mc:AlternateContent>
          <mc:Choice Requires="wps">
            <w:drawing>
              <wp:anchor distT="0" distB="0" distL="114300" distR="114300" simplePos="0" relativeHeight="251658268" behindDoc="0" locked="0" layoutInCell="1" allowOverlap="1" wp14:anchorId="5A0FFEFB" wp14:editId="21753644">
                <wp:simplePos x="0" y="0"/>
                <wp:positionH relativeFrom="column">
                  <wp:posOffset>5556112</wp:posOffset>
                </wp:positionH>
                <wp:positionV relativeFrom="paragraph">
                  <wp:posOffset>439779</wp:posOffset>
                </wp:positionV>
                <wp:extent cx="590550" cy="2952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5905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09323" id="Rectangle 35" o:spid="_x0000_s1026" style="position:absolute;margin-left:437.5pt;margin-top:34.65pt;width:46.5pt;height:23.2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" filled="f" strokecolor="red" strokeweight="2pt"/>
            </w:pict>
          </mc:Fallback>
        </mc:AlternateContent>
      </w:r>
      <w:r>
        <w:rPr>
          <w:b/>
          <w:noProof/>
          <w:color w:val="C98711"/>
          <w:sz w:val="26"/>
          <w:szCs w:val="26"/>
          <w:lang w:val="en-ZA" w:eastAsia="en-ZA"/>
        </w:rPr>
        <mc:AlternateContent>
          <mc:Choice Requires="wps">
            <w:drawing>
              <wp:anchor distT="0" distB="0" distL="114300" distR="114300" simplePos="0" relativeHeight="251658267" behindDoc="0" locked="0" layoutInCell="1" allowOverlap="1" wp14:anchorId="4350BBE6" wp14:editId="24800A95">
                <wp:simplePos x="0" y="0"/>
                <wp:positionH relativeFrom="column">
                  <wp:posOffset>97155</wp:posOffset>
                </wp:positionH>
                <wp:positionV relativeFrom="paragraph">
                  <wp:posOffset>419100</wp:posOffset>
                </wp:positionV>
                <wp:extent cx="1228725" cy="2762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12287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D3A6F" id="Rectangle 34" o:spid="_x0000_s1026" style="position:absolute;margin-left:7.65pt;margin-top:33pt;width:96.75pt;height:21.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" filled="f" strokecolor="red" strokeweight="2pt"/>
            </w:pict>
          </mc:Fallback>
        </mc:AlternateContent>
      </w:r>
      <w:r w:rsidRPr="007C65FA">
        <w:rPr>
          <w:b/>
          <w:noProof/>
          <w:color w:val="C98711"/>
          <w:sz w:val="26"/>
          <w:szCs w:val="26"/>
          <w:lang w:val="en-ZA" w:eastAsia="en-ZA"/>
        </w:rPr>
        <w:drawing>
          <wp:inline distT="0" distB="0" distL="0" distR="0" wp14:anchorId="46C2941B" wp14:editId="1154FBEC">
            <wp:extent cx="6170715" cy="946205"/>
            <wp:effectExtent l="19050" t="19050" r="20955" b="2540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1">
                      <a:extLst>
                        <a:ext uri="{28A0092B-C50C-407E-A947-70E740481C1C}">
                          <a14:useLocalDpi xmlns:a14="http://schemas.microsoft.com/office/drawing/2010/main" val="0"/>
                        </a:ext>
                      </a:extLst>
                    </a:blip>
                    <a:srcRect t="25520"/>
                    <a:stretch/>
                  </pic:blipFill>
                  <pic:spPr bwMode="auto">
                    <a:xfrm>
                      <a:off x="0" y="0"/>
                      <a:ext cx="6343885" cy="972759"/>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3833DC" w14:textId="11CEB6D3" w:rsidR="00353EBD" w:rsidRDefault="00353EBD" w:rsidP="00353EBD">
      <w:pPr>
        <w:rPr>
          <w:b/>
        </w:rPr>
      </w:pPr>
      <w:r>
        <w:rPr>
          <w:b/>
        </w:rPr>
        <w:t>Step 4</w:t>
      </w:r>
      <w:r w:rsidRPr="00407744">
        <w:rPr>
          <w:b/>
        </w:rPr>
        <w:t xml:space="preserve">: </w:t>
      </w:r>
      <w:r>
        <w:rPr>
          <w:b/>
        </w:rPr>
        <w:t xml:space="preserve">Click on the “Link” button </w:t>
      </w:r>
    </w:p>
    <w:p w14:paraId="0B19BDDE" w14:textId="4F9CB331" w:rsidR="00C6775D" w:rsidRPr="00C6775D" w:rsidRDefault="00C6775D" w:rsidP="00353EBD">
      <w:r w:rsidRPr="00C6775D">
        <w:t>Once you click on the “Link” button, the consultant is associated</w:t>
      </w:r>
    </w:p>
    <w:p w14:paraId="2410AB16" w14:textId="682459A9" w:rsidR="00407744" w:rsidRPr="00BC09E5" w:rsidRDefault="009D0AFE" w:rsidP="7861BB64">
      <w:pPr>
        <w:pStyle w:val="ListParagraph"/>
        <w:ind w:left="289" w:hanging="289"/>
        <w:rPr>
          <w:b/>
          <w:bCs/>
          <w:color w:val="C98711"/>
          <w:sz w:val="26"/>
          <w:szCs w:val="26"/>
        </w:rPr>
      </w:pPr>
      <w:r>
        <w:rPr>
          <w:b/>
          <w:noProof/>
          <w:color w:val="C98711"/>
          <w:sz w:val="26"/>
          <w:szCs w:val="26"/>
          <w:lang w:val="en-ZA" w:eastAsia="en-ZA"/>
        </w:rPr>
        <mc:AlternateContent>
          <mc:Choice Requires="wps">
            <w:drawing>
              <wp:anchor distT="0" distB="0" distL="114300" distR="114300" simplePos="0" relativeHeight="251658269" behindDoc="0" locked="0" layoutInCell="1" allowOverlap="1" wp14:anchorId="7933D707" wp14:editId="6C4FC153">
                <wp:simplePos x="0" y="0"/>
                <wp:positionH relativeFrom="column">
                  <wp:posOffset>5725905</wp:posOffset>
                </wp:positionH>
                <wp:positionV relativeFrom="paragraph">
                  <wp:posOffset>569346</wp:posOffset>
                </wp:positionV>
                <wp:extent cx="333375" cy="2571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3333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378463" id="Rectangle 40" o:spid="_x0000_s1026" style="position:absolute;margin-left:450.85pt;margin-top:44.85pt;width:26.25pt;height:20.2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" filled="f" strokecolor="red" strokeweight="2pt"/>
            </w:pict>
          </mc:Fallback>
        </mc:AlternateContent>
      </w:r>
      <w:r w:rsidRPr="00353EBD">
        <w:rPr>
          <w:b/>
          <w:noProof/>
          <w:color w:val="C98711"/>
          <w:sz w:val="26"/>
          <w:szCs w:val="26"/>
          <w:lang w:val="en-ZA" w:eastAsia="en-ZA"/>
        </w:rPr>
        <w:drawing>
          <wp:inline distT="0" distB="0" distL="0" distR="0" wp14:anchorId="2687E577" wp14:editId="1DADB72E">
            <wp:extent cx="6162675" cy="985425"/>
            <wp:effectExtent l="19050" t="19050" r="9525" b="24765"/>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62" cstate="print">
                      <a:extLst>
                        <a:ext uri="{28A0092B-C50C-407E-A947-70E740481C1C}">
                          <a14:useLocalDpi xmlns:a14="http://schemas.microsoft.com/office/drawing/2010/main" val="0"/>
                        </a:ext>
                      </a:extLst>
                    </a:blip>
                    <a:srcRect t="24088"/>
                    <a:stretch/>
                  </pic:blipFill>
                  <pic:spPr>
                    <a:xfrm>
                      <a:off x="0" y="0"/>
                      <a:ext cx="6274411" cy="1003292"/>
                    </a:xfrm>
                    <a:prstGeom prst="rect">
                      <a:avLst/>
                    </a:prstGeom>
                    <a:ln>
                      <a:solidFill>
                        <a:schemeClr val="tx1"/>
                      </a:solidFill>
                    </a:ln>
                  </pic:spPr>
                </pic:pic>
              </a:graphicData>
            </a:graphic>
          </wp:inline>
        </w:drawing>
      </w:r>
    </w:p>
    <w:p w14:paraId="1705141F" w14:textId="6BB353A5" w:rsidR="00DC212A" w:rsidRDefault="00DC212A" w:rsidP="00DC212A">
      <w:pPr>
        <w:rPr>
          <w:b/>
        </w:rPr>
      </w:pPr>
      <w:r>
        <w:rPr>
          <w:b/>
        </w:rPr>
        <w:t>Step 5</w:t>
      </w:r>
      <w:r w:rsidRPr="00407744">
        <w:rPr>
          <w:b/>
        </w:rPr>
        <w:t xml:space="preserve">: </w:t>
      </w:r>
      <w:r w:rsidR="00483F19">
        <w:rPr>
          <w:b/>
        </w:rPr>
        <w:t>Click on the drop-down to provide</w:t>
      </w:r>
      <w:r w:rsidR="00566117">
        <w:rPr>
          <w:b/>
        </w:rPr>
        <w:t xml:space="preserve"> </w:t>
      </w:r>
      <w:r w:rsidR="00483F19">
        <w:rPr>
          <w:b/>
        </w:rPr>
        <w:t>permissions to the consultant</w:t>
      </w:r>
    </w:p>
    <w:p w14:paraId="62D3E641" w14:textId="3E139EB1" w:rsidR="00DC212A" w:rsidRDefault="00CC3ED9" w:rsidP="00DC212A">
      <w:pPr>
        <w:jc w:val="center"/>
        <w:rPr>
          <w:b/>
        </w:rPr>
      </w:pPr>
      <w:r>
        <w:rPr>
          <w:b/>
          <w:noProof/>
          <w:color w:val="C98711"/>
          <w:sz w:val="26"/>
          <w:szCs w:val="26"/>
          <w:lang w:val="en-ZA" w:eastAsia="en-ZA"/>
        </w:rPr>
        <mc:AlternateContent>
          <mc:Choice Requires="wps">
            <w:drawing>
              <wp:anchor distT="0" distB="0" distL="114300" distR="114300" simplePos="0" relativeHeight="251658270" behindDoc="0" locked="0" layoutInCell="1" allowOverlap="1" wp14:anchorId="11BBBA28" wp14:editId="7EBC2823">
                <wp:simplePos x="0" y="0"/>
                <wp:positionH relativeFrom="column">
                  <wp:posOffset>28575</wp:posOffset>
                </wp:positionH>
                <wp:positionV relativeFrom="paragraph">
                  <wp:posOffset>271339</wp:posOffset>
                </wp:positionV>
                <wp:extent cx="6162675" cy="4953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6162675"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821DD" id="Rectangle 42" o:spid="_x0000_s1026" style="position:absolute;margin-left:2.25pt;margin-top:21.35pt;width:485.25pt;height:3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" filled="f" strokecolor="red" strokeweight="2pt"/>
            </w:pict>
          </mc:Fallback>
        </mc:AlternateContent>
      </w:r>
      <w:r w:rsidR="00DC212A" w:rsidRPr="00DC212A">
        <w:rPr>
          <w:b/>
          <w:noProof/>
          <w:lang w:val="en-ZA" w:eastAsia="en-ZA"/>
        </w:rPr>
        <w:drawing>
          <wp:inline distT="0" distB="0" distL="0" distR="0" wp14:anchorId="07A177E1" wp14:editId="3E96BC52">
            <wp:extent cx="6173470" cy="1099185"/>
            <wp:effectExtent l="19050" t="19050" r="17780" b="24765"/>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74128" cy="1099302"/>
                    </a:xfrm>
                    <a:prstGeom prst="rect">
                      <a:avLst/>
                    </a:prstGeom>
                    <a:ln>
                      <a:solidFill>
                        <a:schemeClr val="tx1"/>
                      </a:solidFill>
                    </a:ln>
                  </pic:spPr>
                </pic:pic>
              </a:graphicData>
            </a:graphic>
          </wp:inline>
        </w:drawing>
      </w:r>
    </w:p>
    <w:p w14:paraId="2E80365F" w14:textId="39186244" w:rsidR="00407744" w:rsidRDefault="005B5AC6" w:rsidP="00DC212A">
      <w:pPr>
        <w:rPr>
          <w:b/>
        </w:rPr>
      </w:pPr>
      <w:r w:rsidRPr="005B5AC6">
        <w:rPr>
          <w:b/>
        </w:rPr>
        <w:t xml:space="preserve">Step 6: </w:t>
      </w:r>
      <w:r w:rsidR="00F70E61">
        <w:rPr>
          <w:b/>
        </w:rPr>
        <w:t>Fill in the drop-down</w:t>
      </w:r>
    </w:p>
    <w:p w14:paraId="41CEE447" w14:textId="0B956788" w:rsidR="00F70E61" w:rsidRDefault="00F70E61" w:rsidP="00DC212A">
      <w:r w:rsidRPr="00F70E61">
        <w:t>Under Data Provider</w:t>
      </w:r>
      <w:r w:rsidR="00FA155F">
        <w:t xml:space="preserve"> and Submittal</w:t>
      </w:r>
      <w:r w:rsidRPr="00F70E61">
        <w:t xml:space="preserve">, choose the </w:t>
      </w:r>
      <w:r>
        <w:t>Facility you require assistance with</w:t>
      </w:r>
      <w:r w:rsidR="004A707E">
        <w:t xml:space="preserve"> and the type of assistance</w:t>
      </w:r>
      <w:r>
        <w:t>, such as report preparation, modification or de-registration</w:t>
      </w:r>
      <w:r w:rsidR="00FA155F">
        <w:t>.</w:t>
      </w:r>
    </w:p>
    <w:p w14:paraId="4BFBE1BE" w14:textId="34067963" w:rsidR="00FA155F" w:rsidRDefault="00FA155F" w:rsidP="00DC212A">
      <w:r>
        <w:t>Under Permission, choose whether you want the consultant to assist with preparation or just be able to view the report.</w:t>
      </w:r>
    </w:p>
    <w:p w14:paraId="0E14A3E9" w14:textId="79A00948" w:rsidR="00B97598" w:rsidRPr="00F70E61" w:rsidRDefault="00B97598" w:rsidP="00DC212A">
      <w:r>
        <w:t>Once you have decided on the effective and expiration dates of the permissions, you may click on the “Permission” button and then “Save”.</w:t>
      </w:r>
    </w:p>
    <w:p w14:paraId="6C310436" w14:textId="22D98028" w:rsidR="00407744" w:rsidRPr="00555681" w:rsidRDefault="007E1BE1" w:rsidP="00555681">
      <w:pPr>
        <w:jc w:val="center"/>
      </w:pPr>
      <w:r>
        <w:rPr>
          <w:noProof/>
          <w:lang w:val="en-ZA" w:eastAsia="en-ZA"/>
        </w:rPr>
        <mc:AlternateContent>
          <mc:Choice Requires="wps">
            <w:drawing>
              <wp:anchor distT="0" distB="0" distL="114300" distR="114300" simplePos="0" relativeHeight="251658274" behindDoc="0" locked="0" layoutInCell="1" allowOverlap="1" wp14:anchorId="3CE14385" wp14:editId="2E5DC4C1">
                <wp:simplePos x="0" y="0"/>
                <wp:positionH relativeFrom="column">
                  <wp:posOffset>5002530</wp:posOffset>
                </wp:positionH>
                <wp:positionV relativeFrom="paragraph">
                  <wp:posOffset>2515870</wp:posOffset>
                </wp:positionV>
                <wp:extent cx="657225" cy="2286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6572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1C7B0" id="Rectangle 50" o:spid="_x0000_s1026" style="position:absolute;margin-left:393.9pt;margin-top:198.1pt;width:51.75pt;height:18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" filled="f" strokecolor="red" strokeweight="2pt"/>
            </w:pict>
          </mc:Fallback>
        </mc:AlternateContent>
      </w:r>
      <w:r w:rsidR="00A30672">
        <w:rPr>
          <w:noProof/>
          <w:lang w:val="en-ZA" w:eastAsia="en-ZA"/>
        </w:rPr>
        <mc:AlternateContent>
          <mc:Choice Requires="wps">
            <w:drawing>
              <wp:anchor distT="0" distB="0" distL="114300" distR="114300" simplePos="0" relativeHeight="251658273" behindDoc="0" locked="0" layoutInCell="1" allowOverlap="1" wp14:anchorId="045C0F35" wp14:editId="06D528C4">
                <wp:simplePos x="0" y="0"/>
                <wp:positionH relativeFrom="column">
                  <wp:posOffset>392430</wp:posOffset>
                </wp:positionH>
                <wp:positionV relativeFrom="paragraph">
                  <wp:posOffset>2430145</wp:posOffset>
                </wp:positionV>
                <wp:extent cx="695325" cy="1428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6953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8B454" id="Rectangle 49" o:spid="_x0000_s1026" style="position:absolute;margin-left:30.9pt;margin-top:191.35pt;width:54.75pt;height:11.2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" filled="f" strokecolor="red" strokeweight="2pt"/>
            </w:pict>
          </mc:Fallback>
        </mc:AlternateContent>
      </w:r>
      <w:r w:rsidR="00A30672">
        <w:rPr>
          <w:noProof/>
          <w:lang w:val="en-ZA" w:eastAsia="en-ZA"/>
        </w:rPr>
        <mc:AlternateContent>
          <mc:Choice Requires="wps">
            <w:drawing>
              <wp:anchor distT="0" distB="0" distL="114300" distR="114300" simplePos="0" relativeHeight="251658272" behindDoc="0" locked="0" layoutInCell="1" allowOverlap="1" wp14:anchorId="7F688894" wp14:editId="19484519">
                <wp:simplePos x="0" y="0"/>
                <wp:positionH relativeFrom="column">
                  <wp:posOffset>3097530</wp:posOffset>
                </wp:positionH>
                <wp:positionV relativeFrom="paragraph">
                  <wp:posOffset>2077720</wp:posOffset>
                </wp:positionV>
                <wp:extent cx="561975" cy="1524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5619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551C5" id="Rectangle 48" o:spid="_x0000_s1026" style="position:absolute;margin-left:243.9pt;margin-top:163.6pt;width:44.25pt;height:1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0lwIAAIY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" filled="f" strokecolor="red" strokeweight="2pt"/>
            </w:pict>
          </mc:Fallback>
        </mc:AlternateContent>
      </w:r>
      <w:r w:rsidR="00A30672">
        <w:rPr>
          <w:noProof/>
          <w:lang w:val="en-ZA" w:eastAsia="en-ZA"/>
        </w:rPr>
        <mc:AlternateContent>
          <mc:Choice Requires="wps">
            <w:drawing>
              <wp:anchor distT="0" distB="0" distL="114300" distR="114300" simplePos="0" relativeHeight="251658271" behindDoc="0" locked="0" layoutInCell="1" allowOverlap="1" wp14:anchorId="433C798B" wp14:editId="6D44E496">
                <wp:simplePos x="0" y="0"/>
                <wp:positionH relativeFrom="column">
                  <wp:posOffset>411480</wp:posOffset>
                </wp:positionH>
                <wp:positionV relativeFrom="paragraph">
                  <wp:posOffset>2077721</wp:posOffset>
                </wp:positionV>
                <wp:extent cx="666750" cy="1524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667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C2C92" id="Rectangle 47" o:spid="_x0000_s1026" style="position:absolute;margin-left:32.4pt;margin-top:163.6pt;width:52.5pt;height:1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" filled="f" strokecolor="red" strokeweight="2pt"/>
            </w:pict>
          </mc:Fallback>
        </mc:AlternateContent>
      </w:r>
      <w:r w:rsidR="005B5AC6" w:rsidRPr="005B5AC6">
        <w:rPr>
          <w:noProof/>
          <w:lang w:val="en-ZA" w:eastAsia="en-ZA"/>
        </w:rPr>
        <w:drawing>
          <wp:inline distT="0" distB="0" distL="0" distR="0" wp14:anchorId="7447C813" wp14:editId="5AA1D30C">
            <wp:extent cx="6010275" cy="3009900"/>
            <wp:effectExtent l="19050" t="19050" r="28575" b="1905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64" cstate="print">
                      <a:extLst>
                        <a:ext uri="{28A0092B-C50C-407E-A947-70E740481C1C}">
                          <a14:useLocalDpi xmlns:a14="http://schemas.microsoft.com/office/drawing/2010/main" val="0"/>
                        </a:ext>
                      </a:extLst>
                    </a:blip>
                    <a:srcRect t="-1" r="1555" b="2610"/>
                    <a:stretch/>
                  </pic:blipFill>
                  <pic:spPr bwMode="auto">
                    <a:xfrm>
                      <a:off x="0" y="0"/>
                      <a:ext cx="6010275" cy="3009900"/>
                    </a:xfrm>
                    <a:prstGeom prst="rect">
                      <a:avLst/>
                    </a:prstGeom>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7B84A1" w14:textId="77777777" w:rsidR="00407744" w:rsidRPr="004718EB" w:rsidRDefault="00407744" w:rsidP="004718EB">
      <w:pPr>
        <w:pStyle w:val="ListParagraph"/>
        <w:rPr>
          <w:b/>
          <w:color w:val="C98711"/>
          <w:sz w:val="26"/>
          <w:szCs w:val="26"/>
        </w:rPr>
      </w:pPr>
    </w:p>
    <w:p w14:paraId="27052D1C" w14:textId="2B519CE6" w:rsidR="00EB05C4" w:rsidRPr="003D1DAA" w:rsidRDefault="00EB05C4" w:rsidP="00EB05C4">
      <w:pPr>
        <w:pStyle w:val="Heading2"/>
        <w:numPr>
          <w:ilvl w:val="0"/>
          <w:numId w:val="0"/>
        </w:numPr>
        <w:ind w:left="432" w:hanging="432"/>
      </w:pPr>
      <w:bookmarkStart w:id="580" w:name="_Toc55988578"/>
      <w:bookmarkStart w:id="581" w:name="_Toc56121631"/>
      <w:bookmarkStart w:id="582" w:name="_Toc56152978"/>
      <w:bookmarkStart w:id="583" w:name="_Toc57007902"/>
      <w:bookmarkStart w:id="584" w:name="_Toc95207395"/>
      <w:bookmarkStart w:id="585" w:name="_Toc95208798"/>
      <w:bookmarkStart w:id="586" w:name="_Toc95208899"/>
      <w:bookmarkStart w:id="587" w:name="_Toc95209867"/>
      <w:bookmarkStart w:id="588" w:name="_Toc95211617"/>
      <w:bookmarkStart w:id="589" w:name="_Toc95226745"/>
      <w:bookmarkStart w:id="590" w:name="_Toc109812418"/>
      <w:bookmarkEnd w:id="580"/>
      <w:bookmarkEnd w:id="581"/>
      <w:bookmarkEnd w:id="582"/>
      <w:bookmarkEnd w:id="583"/>
      <w:bookmarkEnd w:id="584"/>
      <w:bookmarkEnd w:id="585"/>
      <w:bookmarkEnd w:id="586"/>
      <w:bookmarkEnd w:id="587"/>
      <w:bookmarkEnd w:id="588"/>
      <w:bookmarkEnd w:id="589"/>
      <w:r>
        <w:t xml:space="preserve">4.4. </w:t>
      </w:r>
      <w:r w:rsidRPr="00EB05C4">
        <w:t>Circumstances determining the use of country-specific EFs and how this is dealt with inside SAGERS</w:t>
      </w:r>
      <w:bookmarkEnd w:id="590"/>
    </w:p>
    <w:p w14:paraId="6AA409E3" w14:textId="77777777" w:rsidR="00EB05C4" w:rsidRPr="00EB05C4" w:rsidRDefault="00EB05C4" w:rsidP="00EB05C4">
      <w:pPr>
        <w:spacing w:after="0" w:line="240" w:lineRule="auto"/>
        <w:rPr>
          <w:rFonts w:ascii="Calibri" w:eastAsia="Times New Roman" w:hAnsi="Calibri" w:cs="Calibri"/>
          <w:sz w:val="22"/>
          <w:szCs w:val="24"/>
          <w:lang w:eastAsia="x-none"/>
        </w:rPr>
      </w:pPr>
      <w:r w:rsidRPr="00EB05C4">
        <w:rPr>
          <w:rFonts w:ascii="Calibri" w:eastAsia="Times New Roman" w:hAnsi="Calibri" w:cs="Calibri"/>
          <w:bCs/>
          <w:sz w:val="22"/>
          <w:szCs w:val="24"/>
          <w:lang w:eastAsia="x-none"/>
        </w:rPr>
        <w:t>Technical Guidelines for Monitoring, Reporting, Verification and Validation of Greenhouse Gas Emissions by Industry ( Methodological guidelines for quantification of greenhouse gas emissions) for</w:t>
      </w:r>
      <w:r w:rsidRPr="00EB05C4">
        <w:rPr>
          <w:rFonts w:ascii="Calibri" w:eastAsia="Times New Roman" w:hAnsi="Calibri" w:cs="Calibri"/>
          <w:sz w:val="22"/>
          <w:szCs w:val="24"/>
          <w:lang w:eastAsia="x-none"/>
        </w:rPr>
        <w:t xml:space="preserve"> a particular activity is not appropriate under the specific conditions of greenhouse gas emission, such a data provider may make a submission to the competent authority, by providing the information set out in Annexure 4 of the </w:t>
      </w:r>
      <w:r w:rsidRPr="00EB05C4">
        <w:rPr>
          <w:rFonts w:ascii="Calibri" w:eastAsia="Times New Roman" w:hAnsi="Calibri" w:cs="Calibri"/>
          <w:b/>
          <w:bCs/>
          <w:sz w:val="22"/>
          <w:szCs w:val="24"/>
          <w:lang w:eastAsia="x-none"/>
        </w:rPr>
        <w:t>National Greenhouse gas emission Regulations (NGER)</w:t>
      </w:r>
      <w:r w:rsidRPr="00EB05C4">
        <w:rPr>
          <w:rFonts w:ascii="Calibri" w:eastAsia="Times New Roman" w:hAnsi="Calibri" w:cs="Calibri"/>
          <w:sz w:val="22"/>
          <w:szCs w:val="24"/>
          <w:lang w:eastAsia="x-none"/>
        </w:rPr>
        <w:t>, requesting a review of the applicable emission factor.</w:t>
      </w:r>
    </w:p>
    <w:p w14:paraId="321C2866" w14:textId="77777777" w:rsidR="00EB05C4" w:rsidRPr="00EB05C4" w:rsidRDefault="00EB05C4" w:rsidP="00EB05C4">
      <w:pPr>
        <w:spacing w:after="0" w:line="240" w:lineRule="auto"/>
        <w:rPr>
          <w:rFonts w:ascii="Calibri" w:eastAsia="Times New Roman" w:hAnsi="Calibri" w:cs="Calibri"/>
          <w:sz w:val="22"/>
          <w:szCs w:val="24"/>
          <w:lang w:eastAsia="x-none"/>
        </w:rPr>
      </w:pPr>
    </w:p>
    <w:p w14:paraId="7D46B036" w14:textId="77777777" w:rsidR="00EB05C4" w:rsidRPr="00EB05C4" w:rsidRDefault="00EB05C4" w:rsidP="00EB05C4">
      <w:pPr>
        <w:spacing w:after="0" w:line="240" w:lineRule="auto"/>
        <w:rPr>
          <w:rFonts w:ascii="Calibri" w:eastAsia="Times New Roman" w:hAnsi="Calibri" w:cs="Calibri"/>
          <w:sz w:val="22"/>
          <w:szCs w:val="24"/>
          <w:lang w:eastAsia="x-none"/>
        </w:rPr>
      </w:pPr>
      <w:r w:rsidRPr="00EB05C4">
        <w:rPr>
          <w:rFonts w:ascii="Calibri" w:eastAsia="Times New Roman" w:hAnsi="Calibri" w:cs="Calibri"/>
          <w:sz w:val="22"/>
          <w:szCs w:val="24"/>
          <w:lang w:eastAsia="x-none"/>
        </w:rPr>
        <w:t>Select “Request for approval for Country-Specific emission factor”. Please refer to section 5.1 for detailed instructions.</w:t>
      </w:r>
    </w:p>
    <w:p w14:paraId="1BE2FBAF" w14:textId="77777777" w:rsidR="00EB05C4" w:rsidRPr="00EB05C4" w:rsidRDefault="00EB05C4" w:rsidP="00EB05C4">
      <w:pPr>
        <w:keepNext/>
        <w:spacing w:after="0" w:line="240" w:lineRule="auto"/>
        <w:rPr>
          <w:rFonts w:ascii="Arial" w:eastAsia="Times New Roman" w:hAnsi="Arial" w:cs="Times New Roman"/>
          <w:sz w:val="20"/>
          <w:szCs w:val="24"/>
          <w:lang w:eastAsia="en-US"/>
        </w:rPr>
      </w:pPr>
      <w:r w:rsidRPr="00EB05C4">
        <w:rPr>
          <w:rFonts w:ascii="Calibri" w:eastAsia="Times New Roman" w:hAnsi="Calibri" w:cs="Calibri"/>
          <w:noProof/>
          <w:sz w:val="22"/>
          <w:szCs w:val="24"/>
          <w:lang w:val="en-ZA" w:eastAsia="en-ZA"/>
        </w:rPr>
        <w:drawing>
          <wp:inline distT="0" distB="0" distL="0" distR="0" wp14:anchorId="126599C5" wp14:editId="5EC8D9A8">
            <wp:extent cx="5934075" cy="2867025"/>
            <wp:effectExtent l="19050" t="19050" r="2857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solidFill>
                      <a:srgbClr val="4472C4"/>
                    </a:solidFill>
                    <a:ln w="22225" cmpd="sng">
                      <a:solidFill>
                        <a:srgbClr val="000000"/>
                      </a:solidFill>
                      <a:miter lim="800000"/>
                      <a:headEnd/>
                      <a:tailEnd/>
                    </a:ln>
                    <a:effectLst/>
                  </pic:spPr>
                </pic:pic>
              </a:graphicData>
            </a:graphic>
          </wp:inline>
        </w:drawing>
      </w:r>
    </w:p>
    <w:p w14:paraId="6DDE29FC" w14:textId="77777777" w:rsidR="00EB05C4" w:rsidRPr="00EB05C4" w:rsidRDefault="00EB05C4" w:rsidP="00EB05C4">
      <w:pPr>
        <w:spacing w:after="0" w:line="240" w:lineRule="auto"/>
        <w:rPr>
          <w:rFonts w:ascii="Calibri" w:eastAsia="PMingLiU" w:hAnsi="Calibri" w:cs="Calibri"/>
          <w:b/>
          <w:bCs/>
          <w:sz w:val="20"/>
          <w:szCs w:val="20"/>
          <w:lang w:eastAsia="zh-TW"/>
        </w:rPr>
      </w:pPr>
      <w:r w:rsidRPr="00EB05C4">
        <w:rPr>
          <w:rFonts w:ascii="Calibri" w:eastAsia="PMingLiU" w:hAnsi="Calibri" w:cs="Calibri"/>
          <w:b/>
          <w:bCs/>
          <w:sz w:val="20"/>
          <w:szCs w:val="20"/>
          <w:lang w:eastAsia="zh-TW"/>
        </w:rPr>
        <w:t>Request Approval for Country-Specific Emission Factor</w:t>
      </w:r>
    </w:p>
    <w:p w14:paraId="7EFD9856" w14:textId="77777777" w:rsidR="00EB05C4" w:rsidRPr="00EB05C4" w:rsidRDefault="00EB05C4" w:rsidP="00EB05C4">
      <w:pPr>
        <w:spacing w:after="0" w:line="240" w:lineRule="auto"/>
        <w:rPr>
          <w:rFonts w:ascii="Arial" w:eastAsia="Times New Roman" w:hAnsi="Arial" w:cs="Times New Roman"/>
          <w:sz w:val="20"/>
          <w:szCs w:val="24"/>
          <w:lang w:eastAsia="zh-TW"/>
        </w:rPr>
      </w:pPr>
    </w:p>
    <w:p w14:paraId="61CA1BBE" w14:textId="77777777" w:rsidR="00EB05C4" w:rsidRPr="00EB05C4" w:rsidRDefault="00EB05C4" w:rsidP="00EB05C4">
      <w:pPr>
        <w:keepNext/>
        <w:numPr>
          <w:ilvl w:val="1"/>
          <w:numId w:val="0"/>
        </w:numPr>
        <w:tabs>
          <w:tab w:val="num" w:pos="576"/>
        </w:tabs>
        <w:spacing w:before="240" w:after="60" w:line="240" w:lineRule="auto"/>
        <w:ind w:left="576" w:hanging="576"/>
        <w:outlineLvl w:val="1"/>
        <w:rPr>
          <w:rFonts w:ascii="Calibri" w:eastAsia="Times New Roman" w:hAnsi="Calibri" w:cs="Calibri"/>
          <w:b/>
          <w:bCs/>
          <w:iCs/>
          <w:color w:val="000080"/>
          <w:szCs w:val="28"/>
          <w:lang w:eastAsia="x-none"/>
        </w:rPr>
      </w:pPr>
      <w:bookmarkStart w:id="591" w:name="_Toc22759911"/>
      <w:bookmarkStart w:id="592" w:name="_Toc109812419"/>
      <w:r w:rsidRPr="00EB05C4">
        <w:rPr>
          <w:rFonts w:ascii="Calibri" w:eastAsia="Times New Roman" w:hAnsi="Calibri" w:cs="Calibri"/>
          <w:b/>
          <w:bCs/>
          <w:iCs/>
          <w:color w:val="000080"/>
          <w:szCs w:val="28"/>
          <w:lang w:eastAsia="x-none"/>
        </w:rPr>
        <w:t>Prepare and Submit Form</w:t>
      </w:r>
      <w:bookmarkEnd w:id="591"/>
      <w:bookmarkEnd w:id="592"/>
    </w:p>
    <w:p w14:paraId="219735A5" w14:textId="77777777" w:rsidR="00EB05C4" w:rsidRPr="00EB05C4" w:rsidRDefault="00EB05C4" w:rsidP="00EB05C4">
      <w:pPr>
        <w:spacing w:after="0" w:line="240" w:lineRule="auto"/>
        <w:rPr>
          <w:rFonts w:ascii="Calibri" w:eastAsia="Times New Roman" w:hAnsi="Calibri" w:cs="Calibri"/>
          <w:b/>
          <w:sz w:val="22"/>
          <w:szCs w:val="24"/>
          <w:lang w:eastAsia="x-none"/>
        </w:rPr>
      </w:pPr>
      <w:r w:rsidRPr="00EB05C4">
        <w:rPr>
          <w:rFonts w:ascii="Calibri" w:eastAsia="Times New Roman" w:hAnsi="Calibri" w:cs="Calibri"/>
          <w:b/>
          <w:sz w:val="22"/>
          <w:szCs w:val="24"/>
          <w:lang w:eastAsia="x-none"/>
        </w:rPr>
        <w:t>Following sections provide only instructions to the steps that are commonly considered as “difficulty” to first time users.</w:t>
      </w:r>
    </w:p>
    <w:p w14:paraId="40F1CAD1" w14:textId="77777777" w:rsidR="00EB05C4" w:rsidRPr="00EB05C4" w:rsidRDefault="00EB05C4" w:rsidP="00EB05C4">
      <w:pPr>
        <w:spacing w:after="0" w:line="240" w:lineRule="auto"/>
        <w:rPr>
          <w:rFonts w:ascii="Calibri" w:eastAsia="Times New Roman" w:hAnsi="Calibri" w:cs="Calibri"/>
          <w:b/>
          <w:sz w:val="22"/>
          <w:szCs w:val="24"/>
          <w:u w:val="single"/>
          <w:lang w:eastAsia="zh-TW"/>
        </w:rPr>
      </w:pPr>
      <w:r w:rsidRPr="00EB05C4">
        <w:rPr>
          <w:rFonts w:ascii="Calibri" w:eastAsia="Times New Roman" w:hAnsi="Calibri" w:cs="Calibri"/>
          <w:b/>
          <w:sz w:val="22"/>
          <w:szCs w:val="24"/>
          <w:u w:val="single"/>
          <w:lang w:eastAsia="zh-TW"/>
        </w:rPr>
        <w:t>Step1: Select IPCC codes</w:t>
      </w:r>
    </w:p>
    <w:p w14:paraId="16FE7F88" w14:textId="77777777" w:rsidR="00EB05C4" w:rsidRPr="00EB05C4" w:rsidRDefault="00EB05C4" w:rsidP="00EB05C4">
      <w:pPr>
        <w:spacing w:after="0" w:line="240" w:lineRule="auto"/>
        <w:rPr>
          <w:rFonts w:ascii="Calibri" w:eastAsia="Times New Roman" w:hAnsi="Calibri" w:cs="Calibri"/>
          <w:sz w:val="22"/>
          <w:szCs w:val="24"/>
          <w:lang w:eastAsia="zh-TW"/>
        </w:rPr>
      </w:pPr>
      <w:r w:rsidRPr="00EB05C4">
        <w:rPr>
          <w:rFonts w:ascii="Calibri" w:eastAsia="Times New Roman" w:hAnsi="Calibri" w:cs="Calibri"/>
          <w:sz w:val="22"/>
          <w:szCs w:val="24"/>
          <w:lang w:eastAsia="zh-TW"/>
        </w:rPr>
        <w:t xml:space="preserve">Public users need to first provide administrative information and select the IPCC code for which the emission factor applies. On each form, only one IPCC code can be selected.  </w:t>
      </w:r>
    </w:p>
    <w:p w14:paraId="3C6F4273" w14:textId="77777777" w:rsidR="00EB05C4" w:rsidRPr="00EB05C4" w:rsidRDefault="00EB05C4" w:rsidP="00EB05C4">
      <w:pPr>
        <w:spacing w:after="0" w:line="240" w:lineRule="auto"/>
        <w:rPr>
          <w:rFonts w:ascii="Calibri" w:eastAsia="Times New Roman" w:hAnsi="Calibri" w:cs="Calibri"/>
          <w:sz w:val="22"/>
          <w:szCs w:val="24"/>
          <w:lang w:eastAsia="zh-TW"/>
        </w:rPr>
      </w:pPr>
    </w:p>
    <w:p w14:paraId="1354F88B" w14:textId="77777777" w:rsidR="00EB05C4" w:rsidRPr="00EB05C4" w:rsidRDefault="00EB05C4" w:rsidP="00EB05C4">
      <w:pPr>
        <w:spacing w:after="0" w:line="240" w:lineRule="auto"/>
        <w:rPr>
          <w:rFonts w:ascii="Calibri" w:eastAsia="Times New Roman" w:hAnsi="Calibri" w:cs="Calibri"/>
          <w:sz w:val="22"/>
          <w:szCs w:val="24"/>
          <w:lang w:eastAsia="zh-TW"/>
        </w:rPr>
      </w:pPr>
    </w:p>
    <w:p w14:paraId="3DCF99E7" w14:textId="77777777" w:rsidR="00EB05C4" w:rsidRPr="00EB05C4" w:rsidRDefault="00EB05C4" w:rsidP="00EB05C4">
      <w:pPr>
        <w:spacing w:after="0" w:line="240" w:lineRule="auto"/>
        <w:rPr>
          <w:rFonts w:ascii="Calibri" w:eastAsia="Times New Roman" w:hAnsi="Calibri" w:cs="Calibri"/>
          <w:sz w:val="22"/>
          <w:szCs w:val="24"/>
          <w:lang w:eastAsia="zh-TW"/>
        </w:rPr>
      </w:pPr>
    </w:p>
    <w:p w14:paraId="60500F9A" w14:textId="77777777" w:rsidR="00EB05C4" w:rsidRPr="00EB05C4" w:rsidRDefault="00EB05C4" w:rsidP="00EB05C4">
      <w:pPr>
        <w:spacing w:after="0" w:line="240" w:lineRule="auto"/>
        <w:rPr>
          <w:rFonts w:ascii="Calibri" w:eastAsia="Times New Roman" w:hAnsi="Calibri" w:cs="Calibri"/>
          <w:sz w:val="22"/>
          <w:szCs w:val="24"/>
          <w:lang w:eastAsia="zh-TW"/>
        </w:rPr>
      </w:pPr>
    </w:p>
    <w:p w14:paraId="7A737B3B" w14:textId="77777777" w:rsidR="00EB05C4" w:rsidRPr="00EB05C4" w:rsidRDefault="00EB05C4" w:rsidP="00EB05C4">
      <w:pPr>
        <w:spacing w:after="0" w:line="240" w:lineRule="auto"/>
        <w:rPr>
          <w:rFonts w:ascii="Calibri" w:eastAsia="Times New Roman" w:hAnsi="Calibri" w:cs="Calibri"/>
          <w:sz w:val="22"/>
          <w:szCs w:val="24"/>
          <w:lang w:eastAsia="zh-TW"/>
        </w:rPr>
      </w:pPr>
    </w:p>
    <w:p w14:paraId="3B4B830A" w14:textId="77777777" w:rsidR="00EB05C4" w:rsidRPr="00EB05C4" w:rsidRDefault="00EB05C4" w:rsidP="00EB05C4">
      <w:pPr>
        <w:spacing w:after="0" w:line="240" w:lineRule="auto"/>
        <w:rPr>
          <w:rFonts w:ascii="Calibri" w:eastAsia="Times New Roman" w:hAnsi="Calibri" w:cs="Calibri"/>
          <w:sz w:val="22"/>
          <w:szCs w:val="24"/>
          <w:lang w:eastAsia="zh-TW"/>
        </w:rPr>
      </w:pPr>
      <w:r w:rsidRPr="00EB05C4">
        <w:rPr>
          <w:rFonts w:ascii="Arial" w:eastAsia="Times New Roman" w:hAnsi="Arial" w:cs="Times New Roman"/>
          <w:noProof/>
          <w:sz w:val="20"/>
          <w:szCs w:val="24"/>
          <w:lang w:val="en-ZA" w:eastAsia="en-ZA"/>
        </w:rPr>
        <w:drawing>
          <wp:inline distT="0" distB="0" distL="0" distR="0" wp14:anchorId="5A52D99F" wp14:editId="37738F90">
            <wp:extent cx="5943600" cy="2186940"/>
            <wp:effectExtent l="19050" t="19050" r="1905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186940"/>
                    </a:xfrm>
                    <a:prstGeom prst="rect">
                      <a:avLst/>
                    </a:prstGeom>
                    <a:ln w="22225">
                      <a:solidFill>
                        <a:srgbClr val="000000"/>
                      </a:solidFill>
                    </a:ln>
                  </pic:spPr>
                </pic:pic>
              </a:graphicData>
            </a:graphic>
          </wp:inline>
        </w:drawing>
      </w:r>
    </w:p>
    <w:p w14:paraId="5AEEF32B" w14:textId="77777777" w:rsidR="00EB05C4" w:rsidRPr="00EB05C4" w:rsidRDefault="00EB05C4" w:rsidP="00EB05C4">
      <w:pPr>
        <w:spacing w:after="0" w:line="240" w:lineRule="auto"/>
        <w:rPr>
          <w:rFonts w:ascii="Calibri" w:eastAsia="Times New Roman" w:hAnsi="Calibri" w:cs="Calibri"/>
          <w:sz w:val="22"/>
          <w:szCs w:val="24"/>
          <w:lang w:eastAsia="zh-TW"/>
        </w:rPr>
      </w:pPr>
      <w:r w:rsidRPr="00EB05C4">
        <w:rPr>
          <w:rFonts w:ascii="Calibri" w:eastAsia="Times New Roman" w:hAnsi="Calibri" w:cs="Calibri"/>
          <w:noProof/>
          <w:sz w:val="22"/>
          <w:szCs w:val="24"/>
          <w:lang w:val="en-ZA" w:eastAsia="en-ZA"/>
        </w:rPr>
        <mc:AlternateContent>
          <mc:Choice Requires="wps">
            <w:drawing>
              <wp:anchor distT="0" distB="0" distL="114300" distR="114300" simplePos="0" relativeHeight="251660330" behindDoc="0" locked="0" layoutInCell="1" allowOverlap="1" wp14:anchorId="6757693E" wp14:editId="1F6D58E0">
                <wp:simplePos x="0" y="0"/>
                <wp:positionH relativeFrom="column">
                  <wp:posOffset>1562100</wp:posOffset>
                </wp:positionH>
                <wp:positionV relativeFrom="paragraph">
                  <wp:posOffset>14605</wp:posOffset>
                </wp:positionV>
                <wp:extent cx="2705100" cy="355600"/>
                <wp:effectExtent l="19050" t="19050" r="19050" b="44450"/>
                <wp:wrapNone/>
                <wp:docPr id="18" name="Down Arrow Callout 18"/>
                <wp:cNvGraphicFramePr/>
                <a:graphic xmlns:a="http://schemas.openxmlformats.org/drawingml/2006/main">
                  <a:graphicData uri="http://schemas.microsoft.com/office/word/2010/wordprocessingShape">
                    <wps:wsp>
                      <wps:cNvSpPr/>
                      <wps:spPr>
                        <a:xfrm>
                          <a:off x="0" y="0"/>
                          <a:ext cx="2705100" cy="355600"/>
                        </a:xfrm>
                        <a:prstGeom prst="downArrowCallout">
                          <a:avLst/>
                        </a:prstGeom>
                        <a:solidFill>
                          <a:srgbClr val="4472C4">
                            <a:alpha val="0"/>
                          </a:srgbClr>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4843F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8" o:spid="_x0000_s1026" type="#_x0000_t80" style="position:absolute;margin-left:123pt;margin-top:1.15pt;width:213pt;height:28pt;z-index:251660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" adj="14035,10090,16200,10445" fillcolor="#4472c4" strokecolor="red" strokeweight="2.25pt">
                <v:fill opacity="0"/>
              </v:shape>
            </w:pict>
          </mc:Fallback>
        </mc:AlternateContent>
      </w:r>
    </w:p>
    <w:p w14:paraId="1BF39EFA" w14:textId="77777777" w:rsidR="00EB05C4" w:rsidRPr="00EB05C4" w:rsidRDefault="00EB05C4" w:rsidP="00EB05C4">
      <w:pPr>
        <w:keepNext/>
        <w:spacing w:after="0" w:line="240" w:lineRule="auto"/>
        <w:rPr>
          <w:rFonts w:ascii="Arial" w:eastAsia="Times New Roman" w:hAnsi="Arial" w:cs="Times New Roman"/>
          <w:sz w:val="20"/>
          <w:szCs w:val="24"/>
          <w:lang w:eastAsia="en-US"/>
        </w:rPr>
      </w:pPr>
      <w:r w:rsidRPr="00EB05C4">
        <w:rPr>
          <w:rFonts w:ascii="Calibri" w:eastAsia="Times New Roman" w:hAnsi="Calibri" w:cs="Calibri"/>
          <w:b/>
          <w:noProof/>
          <w:sz w:val="22"/>
          <w:szCs w:val="24"/>
          <w:u w:val="single"/>
          <w:lang w:val="en-ZA" w:eastAsia="en-ZA"/>
        </w:rPr>
        <w:drawing>
          <wp:inline distT="0" distB="0" distL="0" distR="0" wp14:anchorId="40F74BB0" wp14:editId="6A1F6F42">
            <wp:extent cx="5934075" cy="1762125"/>
            <wp:effectExtent l="19050" t="19050" r="28575" b="28575"/>
            <wp:docPr id="179200" name="Picture 17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1762125"/>
                    </a:xfrm>
                    <a:prstGeom prst="rect">
                      <a:avLst/>
                    </a:prstGeom>
                    <a:noFill/>
                    <a:ln w="22225" cmpd="sng">
                      <a:solidFill>
                        <a:srgbClr val="000000"/>
                      </a:solidFill>
                      <a:miter lim="800000"/>
                      <a:headEnd/>
                      <a:tailEnd/>
                    </a:ln>
                    <a:effectLst/>
                  </pic:spPr>
                </pic:pic>
              </a:graphicData>
            </a:graphic>
          </wp:inline>
        </w:drawing>
      </w:r>
    </w:p>
    <w:p w14:paraId="6C2694F0" w14:textId="77777777" w:rsidR="00EB05C4" w:rsidRPr="00EB05C4" w:rsidRDefault="00EB05C4" w:rsidP="00EB05C4">
      <w:pPr>
        <w:spacing w:after="0" w:line="240" w:lineRule="auto"/>
        <w:rPr>
          <w:rFonts w:ascii="Calibri" w:eastAsia="PMingLiU" w:hAnsi="Calibri" w:cs="Calibri"/>
          <w:b/>
          <w:bCs/>
          <w:sz w:val="20"/>
          <w:szCs w:val="20"/>
          <w:lang w:eastAsia="zh-TW"/>
        </w:rPr>
      </w:pPr>
      <w:r w:rsidRPr="00EB05C4">
        <w:rPr>
          <w:rFonts w:ascii="Calibri" w:eastAsia="PMingLiU" w:hAnsi="Calibri" w:cs="Calibri"/>
          <w:b/>
          <w:bCs/>
          <w:sz w:val="20"/>
          <w:szCs w:val="20"/>
          <w:lang w:eastAsia="zh-TW"/>
        </w:rPr>
        <w:t>IPCC codes</w:t>
      </w:r>
    </w:p>
    <w:p w14:paraId="1F2CBD44" w14:textId="77777777" w:rsidR="00EB05C4" w:rsidRPr="00EB05C4" w:rsidRDefault="00EB05C4" w:rsidP="00EB05C4">
      <w:pPr>
        <w:spacing w:line="259" w:lineRule="auto"/>
        <w:rPr>
          <w:rFonts w:ascii="Calibri" w:eastAsia="Calibri" w:hAnsi="Calibri" w:cs="Times New Roman"/>
          <w:sz w:val="22"/>
          <w:lang w:val="en-ZA" w:eastAsia="en-US"/>
        </w:rPr>
      </w:pPr>
    </w:p>
    <w:p w14:paraId="0C7C888D" w14:textId="35A392FE" w:rsidR="004718EB" w:rsidRPr="003D1DAA" w:rsidRDefault="00EB05C4" w:rsidP="00236E0D">
      <w:pPr>
        <w:pStyle w:val="Heading2"/>
        <w:numPr>
          <w:ilvl w:val="0"/>
          <w:numId w:val="0"/>
        </w:numPr>
        <w:ind w:left="432" w:hanging="432"/>
      </w:pPr>
      <w:bookmarkStart w:id="593" w:name="_Toc95209868"/>
      <w:bookmarkStart w:id="594" w:name="_Toc109812420"/>
      <w:r>
        <w:t>4.5</w:t>
      </w:r>
      <w:r w:rsidR="000F36B3">
        <w:t xml:space="preserve">. </w:t>
      </w:r>
      <w:r w:rsidR="004718EB" w:rsidRPr="003D1DAA">
        <w:t>How do I convert the country specific net calorific values (NCVs) into the correct units for reporting?</w:t>
      </w:r>
      <w:bookmarkEnd w:id="593"/>
      <w:bookmarkEnd w:id="594"/>
    </w:p>
    <w:p w14:paraId="76153B18" w14:textId="4769C896" w:rsidR="004718EB" w:rsidRPr="004718EB" w:rsidRDefault="004718EB" w:rsidP="004718EB">
      <w:pPr>
        <w:rPr>
          <w:bCs/>
        </w:rPr>
      </w:pPr>
      <w:r w:rsidRPr="004718EB">
        <w:rPr>
          <w:bCs/>
        </w:rPr>
        <w:t>Chapter 47 - Annexure D of the Greenhouse Gas Technical Guidelines provides data provider</w:t>
      </w:r>
      <w:r w:rsidR="00566117">
        <w:rPr>
          <w:bCs/>
        </w:rPr>
        <w:t>s</w:t>
      </w:r>
      <w:r w:rsidRPr="004718EB">
        <w:rPr>
          <w:bCs/>
        </w:rPr>
        <w:t xml:space="preserve"> with country specific net calorific values as well as densities for common fuels used with</w:t>
      </w:r>
      <w:r w:rsidR="00566117">
        <w:rPr>
          <w:bCs/>
        </w:rPr>
        <w:t>in</w:t>
      </w:r>
      <w:r w:rsidRPr="004718EB">
        <w:rPr>
          <w:bCs/>
        </w:rPr>
        <w:t xml:space="preserve"> South Africa. However, the net calorific values need to be converted into a unit that can be used for reporting based on the fuel usage units. An example of this is provided below:</w:t>
      </w:r>
    </w:p>
    <w:p w14:paraId="27890FA4" w14:textId="4D29533A" w:rsidR="004718EB" w:rsidRPr="004718EB" w:rsidRDefault="004718EB" w:rsidP="004718EB">
      <w:pPr>
        <w:rPr>
          <w:bCs/>
        </w:rPr>
      </w:pPr>
      <w:r w:rsidRPr="004718EB">
        <w:rPr>
          <w:bCs/>
        </w:rPr>
        <w:t xml:space="preserve">Diesel usage = provided in </w:t>
      </w:r>
      <w:proofErr w:type="spellStart"/>
      <w:r w:rsidRPr="004718EB">
        <w:rPr>
          <w:bCs/>
        </w:rPr>
        <w:t>Tonnes</w:t>
      </w:r>
      <w:proofErr w:type="spellEnd"/>
      <w:r w:rsidRPr="004718EB">
        <w:rPr>
          <w:bCs/>
        </w:rPr>
        <w:t xml:space="preserve"> per annum</w:t>
      </w:r>
    </w:p>
    <w:p w14:paraId="5029CD3C" w14:textId="2C2087D3" w:rsidR="004718EB" w:rsidRPr="004718EB" w:rsidRDefault="004718EB" w:rsidP="004718EB">
      <w:pPr>
        <w:rPr>
          <w:bCs/>
        </w:rPr>
      </w:pPr>
      <w:r w:rsidRPr="004718EB">
        <w:rPr>
          <w:bCs/>
        </w:rPr>
        <w:t>Diesel emission factor = provided in KGCO</w:t>
      </w:r>
      <w:r w:rsidRPr="004718EB">
        <w:rPr>
          <w:bCs/>
          <w:vertAlign w:val="subscript"/>
        </w:rPr>
        <w:t>2</w:t>
      </w:r>
      <w:r w:rsidRPr="004718EB">
        <w:rPr>
          <w:bCs/>
        </w:rPr>
        <w:t>/TJ</w:t>
      </w:r>
    </w:p>
    <w:p w14:paraId="6EB35BA6" w14:textId="77777777" w:rsidR="004718EB" w:rsidRPr="004718EB" w:rsidRDefault="004718EB" w:rsidP="004718EB">
      <w:pPr>
        <w:rPr>
          <w:bCs/>
        </w:rPr>
      </w:pPr>
      <w:r w:rsidRPr="004718EB">
        <w:rPr>
          <w:bCs/>
        </w:rPr>
        <w:t>Country Specific Net Calorific Value = Provided in MJ/l</w:t>
      </w:r>
    </w:p>
    <w:p w14:paraId="71CFDBE0" w14:textId="77777777" w:rsidR="004718EB" w:rsidRPr="004718EB" w:rsidRDefault="004718EB" w:rsidP="004718EB">
      <w:pPr>
        <w:rPr>
          <w:bCs/>
        </w:rPr>
      </w:pPr>
      <w:r w:rsidRPr="004718EB">
        <w:rPr>
          <w:bCs/>
        </w:rPr>
        <w:t>To get the Diesel NCV into a common unit, follow the below steps:</w:t>
      </w:r>
    </w:p>
    <w:p w14:paraId="4E3301DB" w14:textId="77777777" w:rsidR="004718EB" w:rsidRPr="004718EB" w:rsidRDefault="004718EB" w:rsidP="004718EB">
      <w:pPr>
        <w:rPr>
          <w:bCs/>
        </w:rPr>
      </w:pPr>
      <w:r w:rsidRPr="004718EB">
        <w:rPr>
          <w:b/>
          <w:bCs/>
        </w:rPr>
        <w:t>Diesel NCV (TJ/</w:t>
      </w:r>
      <w:proofErr w:type="spellStart"/>
      <w:r w:rsidRPr="004718EB">
        <w:rPr>
          <w:b/>
          <w:bCs/>
        </w:rPr>
        <w:t>Tonne</w:t>
      </w:r>
      <w:proofErr w:type="spellEnd"/>
      <w:r w:rsidRPr="004718EB">
        <w:rPr>
          <w:b/>
          <w:bCs/>
        </w:rPr>
        <w:t>)</w:t>
      </w:r>
      <w:r w:rsidRPr="004718EB">
        <w:rPr>
          <w:bCs/>
        </w:rPr>
        <w:t xml:space="preserve"> = NCV (MJ/l)/ Density (KG/l)</w:t>
      </w:r>
    </w:p>
    <w:p w14:paraId="15DB148A" w14:textId="77777777" w:rsidR="004718EB" w:rsidRPr="004718EB" w:rsidRDefault="004718EB" w:rsidP="004718EB">
      <w:pPr>
        <w:rPr>
          <w:bCs/>
        </w:rPr>
      </w:pPr>
      <w:r w:rsidRPr="004718EB">
        <w:rPr>
          <w:bCs/>
        </w:rPr>
        <w:t xml:space="preserve">                                          = 38.1 (MJ/l)/ 0.845 (KG/l)</w:t>
      </w:r>
    </w:p>
    <w:p w14:paraId="10AFADC7" w14:textId="77777777" w:rsidR="004718EB" w:rsidRPr="004718EB" w:rsidRDefault="004718EB" w:rsidP="004718EB">
      <w:pPr>
        <w:rPr>
          <w:bCs/>
        </w:rPr>
      </w:pPr>
      <w:r w:rsidRPr="004718EB">
        <w:rPr>
          <w:bCs/>
        </w:rPr>
        <w:t xml:space="preserve">                                          = (45.089 MJ/KG)/ 1000</w:t>
      </w:r>
    </w:p>
    <w:p w14:paraId="08688303" w14:textId="48F6307E" w:rsidR="00320ECE" w:rsidRPr="00092F86" w:rsidRDefault="004718EB" w:rsidP="00092F86">
      <w:r w:rsidRPr="004718EB">
        <w:t xml:space="preserve">                                          </w:t>
      </w:r>
      <w:r w:rsidRPr="004718EB">
        <w:rPr>
          <w:u w:val="single"/>
        </w:rPr>
        <w:t>= 0.045 TJ/</w:t>
      </w:r>
      <w:proofErr w:type="spellStart"/>
      <w:r w:rsidRPr="004718EB">
        <w:rPr>
          <w:u w:val="single"/>
        </w:rPr>
        <w:t>Tonn</w:t>
      </w:r>
      <w:bookmarkStart w:id="595" w:name="_Toc55221301"/>
      <w:bookmarkStart w:id="596" w:name="_Toc55222290"/>
      <w:bookmarkStart w:id="597" w:name="_Toc55817324"/>
      <w:bookmarkStart w:id="598" w:name="_Toc55896684"/>
      <w:bookmarkEnd w:id="595"/>
      <w:bookmarkEnd w:id="596"/>
      <w:bookmarkEnd w:id="597"/>
      <w:bookmarkEnd w:id="598"/>
      <w:r w:rsidR="003D1DAA">
        <w:rPr>
          <w:u w:val="single"/>
        </w:rPr>
        <w:t>e</w:t>
      </w:r>
      <w:proofErr w:type="spellEnd"/>
      <w:r w:rsidR="00D3287A">
        <w:t xml:space="preserve">. </w:t>
      </w:r>
      <w:bookmarkStart w:id="599" w:name="_Toc55988580"/>
      <w:bookmarkStart w:id="600" w:name="_Toc56121633"/>
      <w:bookmarkStart w:id="601" w:name="_Toc56152980"/>
      <w:bookmarkStart w:id="602" w:name="_Toc57007904"/>
      <w:bookmarkEnd w:id="599"/>
      <w:bookmarkEnd w:id="600"/>
      <w:bookmarkEnd w:id="601"/>
      <w:bookmarkEnd w:id="602"/>
    </w:p>
    <w:p w14:paraId="06A16231" w14:textId="3C82B06E" w:rsidR="0075370E" w:rsidRDefault="0025742D" w:rsidP="00EB05C4">
      <w:pPr>
        <w:pStyle w:val="Heading2"/>
        <w:numPr>
          <w:ilvl w:val="1"/>
          <w:numId w:val="26"/>
        </w:numPr>
        <w:jc w:val="both"/>
      </w:pPr>
      <w:bookmarkStart w:id="603" w:name="_Toc95209869"/>
      <w:r>
        <w:t xml:space="preserve"> </w:t>
      </w:r>
      <w:bookmarkStart w:id="604" w:name="_Toc109812421"/>
      <w:r w:rsidR="00F62D1A" w:rsidRPr="00F62D1A">
        <w:t>Do the different Tier methods change the activity data that data providers need to report?</w:t>
      </w:r>
      <w:bookmarkEnd w:id="603"/>
      <w:bookmarkEnd w:id="604"/>
    </w:p>
    <w:p w14:paraId="0B768F7B" w14:textId="4C066CD0" w:rsidR="00F62D1A" w:rsidRDefault="00F62D1A" w:rsidP="00F62D1A">
      <w:pPr>
        <w:jc w:val="both"/>
      </w:pPr>
      <w:r>
        <w:t xml:space="preserve">Using Energy </w:t>
      </w:r>
      <w:r w:rsidR="00AE130A">
        <w:t>and</w:t>
      </w:r>
      <w:r>
        <w:t xml:space="preserve"> stationary combustion as an example, activity d</w:t>
      </w:r>
      <w:r w:rsidR="00AE130A">
        <w:t>ata will not change for both a Tier 1 and a T</w:t>
      </w:r>
      <w:r>
        <w:t xml:space="preserve">ier 2, the only parameter that will be different will be an emission factor (either default - Tier 1; or country specific - Tier 2) but these will use the same activity data. </w:t>
      </w:r>
    </w:p>
    <w:p w14:paraId="2D89368A" w14:textId="77777777" w:rsidR="00AE130A" w:rsidRDefault="00F62D1A" w:rsidP="00F62D1A">
      <w:pPr>
        <w:jc w:val="both"/>
      </w:pPr>
      <w:r>
        <w:t xml:space="preserve">Tier 3 requires data on fuel combustion, combustion technologies applied together with technology-specific emission factors; and emissions are usually quantified using models and facility level emission data based on a measurement program/mass-balance which tracks carbon flows in and out of the data provider boundary.  </w:t>
      </w:r>
    </w:p>
    <w:p w14:paraId="3AFF1128" w14:textId="36BB83D1" w:rsidR="00F62D1A" w:rsidRDefault="00F62D1A" w:rsidP="00F62D1A">
      <w:pPr>
        <w:jc w:val="both"/>
      </w:pPr>
      <w:r>
        <w:t>The response to this is not the same for all IPCC activities and hence in the guidelines we do provide guidance on the data requirements for Tier 1, Tier 2, and Tier 3.</w:t>
      </w:r>
    </w:p>
    <w:p w14:paraId="2769B0FC" w14:textId="78F53306" w:rsidR="00BE1FA7" w:rsidRPr="00BE1FA7" w:rsidRDefault="003C1F73" w:rsidP="003C1F73">
      <w:pPr>
        <w:pStyle w:val="Heading2"/>
        <w:numPr>
          <w:ilvl w:val="0"/>
          <w:numId w:val="0"/>
        </w:numPr>
        <w:rPr>
          <w:lang w:val="en-ZA"/>
        </w:rPr>
      </w:pPr>
      <w:bookmarkStart w:id="605" w:name="_Toc109812422"/>
      <w:r>
        <w:rPr>
          <w:lang w:val="en-ZA"/>
        </w:rPr>
        <w:t>4.7.</w:t>
      </w:r>
      <w:r w:rsidR="00BE1FA7">
        <w:rPr>
          <w:lang w:val="en-ZA"/>
        </w:rPr>
        <w:t xml:space="preserve"> </w:t>
      </w:r>
      <w:r w:rsidR="00BE1FA7" w:rsidRPr="00BE1FA7">
        <w:rPr>
          <w:lang w:val="en-ZA"/>
        </w:rPr>
        <w:t>What information is required for Tier 3 submissions?</w:t>
      </w:r>
      <w:bookmarkEnd w:id="605"/>
    </w:p>
    <w:p w14:paraId="1CB789DE" w14:textId="77777777" w:rsidR="00BE1FA7" w:rsidRDefault="00BE1FA7" w:rsidP="00BE1FA7">
      <w:pPr>
        <w:rPr>
          <w:lang w:bidi="hi-IN"/>
        </w:rPr>
      </w:pPr>
    </w:p>
    <w:p w14:paraId="4830C6B7" w14:textId="77777777" w:rsidR="00BE1FA7" w:rsidRPr="00BE1FA7" w:rsidRDefault="00BE1FA7" w:rsidP="00BE1FA7">
      <w:pPr>
        <w:rPr>
          <w:lang w:val="en-ZA" w:bidi="hi-IN"/>
        </w:rPr>
      </w:pPr>
      <w:bookmarkStart w:id="606" w:name="_Hlk98501271"/>
      <w:r w:rsidRPr="00BE1FA7">
        <w:rPr>
          <w:lang w:val="en-ZA" w:bidi="hi-IN"/>
        </w:rPr>
        <w:t>Any Tier 3 submission based on actual measurements must, as a minimum, include information covering the following:</w:t>
      </w:r>
    </w:p>
    <w:p w14:paraId="124435BF" w14:textId="77777777" w:rsidR="00BE1FA7" w:rsidRPr="00BE1FA7" w:rsidRDefault="00BE1FA7" w:rsidP="00BE1FA7">
      <w:pPr>
        <w:numPr>
          <w:ilvl w:val="0"/>
          <w:numId w:val="21"/>
        </w:numPr>
        <w:rPr>
          <w:lang w:val="en-ZA" w:bidi="hi-IN"/>
        </w:rPr>
      </w:pPr>
      <w:bookmarkStart w:id="607" w:name="_Hlk98501306"/>
      <w:bookmarkEnd w:id="606"/>
      <w:r w:rsidRPr="00BE1FA7">
        <w:rPr>
          <w:lang w:val="en-ZA" w:bidi="hi-IN"/>
        </w:rPr>
        <w:t>A background that includes a process description</w:t>
      </w:r>
      <w:r w:rsidRPr="00BE1FA7">
        <w:rPr>
          <w:lang w:val="en-GB" w:bidi="hi-IN"/>
        </w:rPr>
        <w:t xml:space="preserve"> with key</w:t>
      </w:r>
      <w:r w:rsidRPr="00BE1FA7">
        <w:rPr>
          <w:lang w:val="en-ZA" w:bidi="hi-IN"/>
        </w:rPr>
        <w:t xml:space="preserve"> process parameters</w:t>
      </w:r>
    </w:p>
    <w:bookmarkEnd w:id="607"/>
    <w:p w14:paraId="5DCE9D01" w14:textId="77777777" w:rsidR="00BE1FA7" w:rsidRPr="00BE1FA7" w:rsidRDefault="00BE1FA7" w:rsidP="00BE1FA7">
      <w:pPr>
        <w:numPr>
          <w:ilvl w:val="0"/>
          <w:numId w:val="21"/>
        </w:numPr>
        <w:rPr>
          <w:lang w:val="en-ZA" w:bidi="hi-IN"/>
        </w:rPr>
      </w:pPr>
      <w:r w:rsidRPr="00BE1FA7">
        <w:rPr>
          <w:lang w:val="en-ZA" w:bidi="hi-IN"/>
        </w:rPr>
        <w:t>Sampling design (where in process, frequency, sampling time, etc.)</w:t>
      </w:r>
    </w:p>
    <w:p w14:paraId="5A6A072E" w14:textId="77777777" w:rsidR="00BE1FA7" w:rsidRPr="00BE1FA7" w:rsidRDefault="00BE1FA7" w:rsidP="00BE1FA7">
      <w:pPr>
        <w:numPr>
          <w:ilvl w:val="0"/>
          <w:numId w:val="21"/>
        </w:numPr>
        <w:rPr>
          <w:lang w:val="en-ZA" w:bidi="hi-IN"/>
        </w:rPr>
      </w:pPr>
      <w:r w:rsidRPr="00BE1FA7">
        <w:rPr>
          <w:lang w:val="en-ZA" w:bidi="hi-IN"/>
        </w:rPr>
        <w:t>Formal measuring protocol/procedure</w:t>
      </w:r>
    </w:p>
    <w:p w14:paraId="30A2450E" w14:textId="77777777" w:rsidR="00BE1FA7" w:rsidRPr="00BE1FA7" w:rsidRDefault="00BE1FA7" w:rsidP="00BE1FA7">
      <w:pPr>
        <w:numPr>
          <w:ilvl w:val="0"/>
          <w:numId w:val="21"/>
        </w:numPr>
        <w:rPr>
          <w:lang w:val="en-ZA" w:bidi="hi-IN"/>
        </w:rPr>
      </w:pPr>
      <w:r w:rsidRPr="00BE1FA7">
        <w:rPr>
          <w:lang w:val="en-ZA" w:bidi="hi-IN"/>
        </w:rPr>
        <w:t>Actual measurements of process parameters and emission</w:t>
      </w:r>
    </w:p>
    <w:p w14:paraId="5C3FFFA7" w14:textId="77777777" w:rsidR="00BE1FA7" w:rsidRPr="00BE1FA7" w:rsidRDefault="00BE1FA7" w:rsidP="00BE1FA7">
      <w:pPr>
        <w:numPr>
          <w:ilvl w:val="0"/>
          <w:numId w:val="21"/>
        </w:numPr>
        <w:rPr>
          <w:lang w:val="en-ZA" w:bidi="hi-IN"/>
        </w:rPr>
      </w:pPr>
      <w:r w:rsidRPr="00BE1FA7">
        <w:rPr>
          <w:lang w:val="en-ZA" w:bidi="hi-IN"/>
        </w:rPr>
        <w:t>Calculations sheets</w:t>
      </w:r>
    </w:p>
    <w:p w14:paraId="1E3F9425" w14:textId="77777777" w:rsidR="00BE1FA7" w:rsidRPr="00BE1FA7" w:rsidRDefault="00BE1FA7" w:rsidP="00BE1FA7">
      <w:pPr>
        <w:numPr>
          <w:ilvl w:val="0"/>
          <w:numId w:val="21"/>
        </w:numPr>
        <w:rPr>
          <w:lang w:val="en-ZA" w:bidi="hi-IN"/>
        </w:rPr>
      </w:pPr>
      <w:bookmarkStart w:id="608" w:name="_Hlk98501454"/>
      <w:r w:rsidRPr="00BE1FA7">
        <w:rPr>
          <w:lang w:val="en-ZA" w:bidi="hi-IN"/>
        </w:rPr>
        <w:t>Quality Control and Quality Assurance (QC/QA)</w:t>
      </w:r>
    </w:p>
    <w:bookmarkEnd w:id="608"/>
    <w:p w14:paraId="08230731" w14:textId="77777777" w:rsidR="00BE1FA7" w:rsidRPr="00BE1FA7" w:rsidRDefault="00BE1FA7" w:rsidP="00BE1FA7">
      <w:pPr>
        <w:numPr>
          <w:ilvl w:val="0"/>
          <w:numId w:val="21"/>
        </w:numPr>
        <w:rPr>
          <w:lang w:val="en-ZA" w:bidi="hi-IN"/>
        </w:rPr>
      </w:pPr>
      <w:r w:rsidRPr="00BE1FA7">
        <w:rPr>
          <w:lang w:val="en-ZA" w:bidi="hi-IN"/>
        </w:rPr>
        <w:t>GHG Report with final figures (including uncertainty analyses)</w:t>
      </w:r>
    </w:p>
    <w:p w14:paraId="42D79BAC" w14:textId="77777777" w:rsidR="00BE1FA7" w:rsidRPr="00BE1FA7" w:rsidRDefault="00BE1FA7" w:rsidP="00BE1FA7">
      <w:pPr>
        <w:rPr>
          <w:lang w:val="en-ZA" w:bidi="hi-IN"/>
        </w:rPr>
      </w:pPr>
      <w:bookmarkStart w:id="609" w:name="_Hlk98501469"/>
      <w:r w:rsidRPr="00BE1FA7">
        <w:rPr>
          <w:lang w:val="en-ZA" w:bidi="hi-IN"/>
        </w:rPr>
        <w:t>Any Tier 3 submission based on mass balance must, as a minimum, include information covering the following:</w:t>
      </w:r>
    </w:p>
    <w:bookmarkEnd w:id="609"/>
    <w:p w14:paraId="647BEA27" w14:textId="77777777" w:rsidR="00BE1FA7" w:rsidRPr="00BE1FA7" w:rsidRDefault="00BE1FA7" w:rsidP="00BE1FA7">
      <w:pPr>
        <w:numPr>
          <w:ilvl w:val="0"/>
          <w:numId w:val="22"/>
        </w:numPr>
        <w:rPr>
          <w:lang w:val="en-ZA" w:bidi="hi-IN"/>
        </w:rPr>
      </w:pPr>
      <w:r w:rsidRPr="00BE1FA7">
        <w:rPr>
          <w:lang w:val="en-ZA" w:bidi="hi-IN"/>
        </w:rPr>
        <w:t>A background that includes a process description with key process parameters and carbon streams</w:t>
      </w:r>
    </w:p>
    <w:p w14:paraId="00D2BDC0" w14:textId="77777777" w:rsidR="00BE1FA7" w:rsidRPr="00BE1FA7" w:rsidRDefault="00BE1FA7" w:rsidP="00BE1FA7">
      <w:pPr>
        <w:numPr>
          <w:ilvl w:val="0"/>
          <w:numId w:val="22"/>
        </w:numPr>
        <w:rPr>
          <w:lang w:val="en-ZA" w:bidi="hi-IN"/>
        </w:rPr>
      </w:pPr>
      <w:r w:rsidRPr="00BE1FA7">
        <w:rPr>
          <w:lang w:val="en-ZA" w:bidi="hi-IN"/>
        </w:rPr>
        <w:t>Actual carbon analyses and measurements</w:t>
      </w:r>
    </w:p>
    <w:p w14:paraId="2FC63196" w14:textId="77777777" w:rsidR="00BE1FA7" w:rsidRPr="00BE1FA7" w:rsidRDefault="00BE1FA7" w:rsidP="00BE1FA7">
      <w:pPr>
        <w:numPr>
          <w:ilvl w:val="0"/>
          <w:numId w:val="22"/>
        </w:numPr>
        <w:rPr>
          <w:lang w:val="en-ZA" w:bidi="hi-IN"/>
        </w:rPr>
      </w:pPr>
      <w:r w:rsidRPr="00BE1FA7">
        <w:rPr>
          <w:lang w:val="en-ZA" w:bidi="hi-IN"/>
        </w:rPr>
        <w:t>Calculation sheets with final figures</w:t>
      </w:r>
    </w:p>
    <w:p w14:paraId="6169223B" w14:textId="77777777" w:rsidR="00BE1FA7" w:rsidRPr="00BE1FA7" w:rsidRDefault="00BE1FA7" w:rsidP="00BE1FA7">
      <w:pPr>
        <w:numPr>
          <w:ilvl w:val="0"/>
          <w:numId w:val="22"/>
        </w:numPr>
        <w:rPr>
          <w:lang w:val="en-ZA" w:bidi="hi-IN"/>
        </w:rPr>
      </w:pPr>
      <w:r w:rsidRPr="00BE1FA7">
        <w:rPr>
          <w:lang w:val="en-ZA" w:bidi="hi-IN"/>
        </w:rPr>
        <w:t>Quality Control and Quality Assurance (QC/QA)</w:t>
      </w:r>
    </w:p>
    <w:p w14:paraId="52BCC2FD" w14:textId="77777777" w:rsidR="00BE1FA7" w:rsidRDefault="00BE1FA7" w:rsidP="00F62D1A">
      <w:pPr>
        <w:jc w:val="both"/>
      </w:pPr>
    </w:p>
    <w:p w14:paraId="1DBFDB0D" w14:textId="6043BE5E" w:rsidR="006B20A4" w:rsidRDefault="003C1F73" w:rsidP="003C1F73">
      <w:pPr>
        <w:pStyle w:val="Heading2"/>
        <w:numPr>
          <w:ilvl w:val="0"/>
          <w:numId w:val="0"/>
        </w:numPr>
        <w:jc w:val="both"/>
      </w:pPr>
      <w:bookmarkStart w:id="610" w:name="_Toc95209870"/>
      <w:bookmarkStart w:id="611" w:name="_Toc109812423"/>
      <w:r>
        <w:t>4.8.</w:t>
      </w:r>
      <w:r w:rsidR="0025742D">
        <w:t xml:space="preserve"> </w:t>
      </w:r>
      <w:r w:rsidR="00D14E27">
        <w:t>When using a Tier 3 method to estimate emissions</w:t>
      </w:r>
      <w:r w:rsidR="00745994">
        <w:t>, will a formal approval of the method used be issued to the data provider?</w:t>
      </w:r>
      <w:bookmarkEnd w:id="610"/>
      <w:bookmarkEnd w:id="611"/>
    </w:p>
    <w:p w14:paraId="3B1DF511" w14:textId="5510281B" w:rsidR="006B20A4" w:rsidRPr="006B20A4" w:rsidRDefault="006B20A4" w:rsidP="00283FB1">
      <w:pPr>
        <w:jc w:val="both"/>
      </w:pPr>
      <w:r>
        <w:t xml:space="preserve">A confirmation letter will be issued upon approval of a tier 3 methodology used to estimate estimates, however you do </w:t>
      </w:r>
      <w:r w:rsidR="00283FB1">
        <w:t>not need</w:t>
      </w:r>
      <w:r>
        <w:t xml:space="preserve"> prior approval to </w:t>
      </w:r>
      <w:r w:rsidR="00283FB1">
        <w:t>use</w:t>
      </w:r>
      <w:r>
        <w:t xml:space="preserve"> a tier 3 methodology</w:t>
      </w:r>
    </w:p>
    <w:p w14:paraId="31AFDAFB" w14:textId="4BBBEBB2" w:rsidR="00745994" w:rsidRDefault="00231DA7" w:rsidP="00283FB1">
      <w:pPr>
        <w:jc w:val="both"/>
      </w:pPr>
      <w:r>
        <w:t>D</w:t>
      </w:r>
      <w:r w:rsidR="00391A35">
        <w:t xml:space="preserve">FFE </w:t>
      </w:r>
      <w:r w:rsidR="006B20A4">
        <w:t>will review the submitted methodology during the normal review process</w:t>
      </w:r>
      <w:r w:rsidR="00745994" w:rsidRPr="00745994">
        <w:t xml:space="preserve"> </w:t>
      </w:r>
      <w:r w:rsidR="00745994">
        <w:t xml:space="preserve">to ensure that </w:t>
      </w:r>
      <w:r w:rsidR="006B20A4">
        <w:t xml:space="preserve">the </w:t>
      </w:r>
      <w:r w:rsidR="00745994">
        <w:t>T</w:t>
      </w:r>
      <w:r w:rsidR="00745994" w:rsidRPr="00745994">
        <w:t>ier 3 method</w:t>
      </w:r>
      <w:r w:rsidR="006B20A4">
        <w:t xml:space="preserve">ology </w:t>
      </w:r>
      <w:r w:rsidR="00745994" w:rsidRPr="00745994">
        <w:t xml:space="preserve">(e.g. material balance) is done </w:t>
      </w:r>
      <w:r w:rsidR="006465DA">
        <w:t>in</w:t>
      </w:r>
      <w:r w:rsidR="00745994">
        <w:t xml:space="preserve"> accordance and is </w:t>
      </w:r>
      <w:r w:rsidR="00745994" w:rsidRPr="00745994">
        <w:t xml:space="preserve">consistent with the technical guidance we provide.  </w:t>
      </w:r>
    </w:p>
    <w:p w14:paraId="1ED66374" w14:textId="59193B05" w:rsidR="00745994" w:rsidRPr="00745994" w:rsidRDefault="00745994" w:rsidP="00283FB1">
      <w:pPr>
        <w:jc w:val="both"/>
      </w:pPr>
      <w:r w:rsidRPr="00745994">
        <w:t>It is only when you develop a country-specific emission</w:t>
      </w:r>
      <w:r>
        <w:t xml:space="preserve"> factor for a T</w:t>
      </w:r>
      <w:r w:rsidRPr="00745994">
        <w:t>ier 2 method (multiplying production unit by a country-specific/sector or plant-specific emission factor</w:t>
      </w:r>
      <w:r>
        <w:t>)</w:t>
      </w:r>
      <w:r w:rsidRPr="00745994">
        <w:t xml:space="preserve"> that we provide a formal </w:t>
      </w:r>
      <w:r w:rsidR="006B20A4">
        <w:t xml:space="preserve">prior </w:t>
      </w:r>
      <w:r w:rsidRPr="00745994">
        <w:t>approval</w:t>
      </w:r>
      <w:r w:rsidR="006B20A4">
        <w:t xml:space="preserve"> before the</w:t>
      </w:r>
      <w:r w:rsidR="00391A35">
        <w:t xml:space="preserve"> use of such an emission factor</w:t>
      </w:r>
      <w:r w:rsidRPr="00745994">
        <w:t xml:space="preserve">.  Based on this, the confirmation letter </w:t>
      </w:r>
      <w:r>
        <w:t xml:space="preserve">provided upon approval of the submission on the SAGERS Portal </w:t>
      </w:r>
      <w:r w:rsidRPr="00745994">
        <w:t>should be sufficient.</w:t>
      </w:r>
    </w:p>
    <w:p w14:paraId="57153E0B" w14:textId="7F68EFF7" w:rsidR="00526678" w:rsidRDefault="003C1F73" w:rsidP="003C1F73">
      <w:pPr>
        <w:pStyle w:val="Heading2"/>
        <w:numPr>
          <w:ilvl w:val="0"/>
          <w:numId w:val="0"/>
        </w:numPr>
        <w:jc w:val="both"/>
      </w:pPr>
      <w:bookmarkStart w:id="612" w:name="_Toc95209871"/>
      <w:bookmarkStart w:id="613" w:name="_Toc109812424"/>
      <w:r>
        <w:t xml:space="preserve">4.9. </w:t>
      </w:r>
      <w:r w:rsidR="00526678">
        <w:t>Do data providers need to use the AR3 to convert to CO</w:t>
      </w:r>
      <w:r w:rsidR="00526678" w:rsidRPr="00526678">
        <w:rPr>
          <w:vertAlign w:val="subscript"/>
        </w:rPr>
        <w:t>2eq</w:t>
      </w:r>
      <w:r w:rsidR="00526678">
        <w:t xml:space="preserve"> instead of the more recent ARs?</w:t>
      </w:r>
      <w:bookmarkEnd w:id="612"/>
      <w:bookmarkEnd w:id="613"/>
    </w:p>
    <w:p w14:paraId="2710DA36" w14:textId="4853124B" w:rsidR="00081F45" w:rsidRDefault="00392926" w:rsidP="00283FB1">
      <w:pPr>
        <w:jc w:val="both"/>
      </w:pPr>
      <w:r>
        <w:t>When reporting on the SAGERS Portal, the data provider does not need to convert their emissions into CO</w:t>
      </w:r>
      <w:r w:rsidRPr="00392926">
        <w:rPr>
          <w:vertAlign w:val="subscript"/>
        </w:rPr>
        <w:t>2eq</w:t>
      </w:r>
      <w:r>
        <w:t>, as the system calculates the CO</w:t>
      </w:r>
      <w:r w:rsidRPr="00392926">
        <w:rPr>
          <w:vertAlign w:val="subscript"/>
        </w:rPr>
        <w:t>2eq</w:t>
      </w:r>
      <w:r>
        <w:t xml:space="preserve">. The SAGERS Portal uses the </w:t>
      </w:r>
      <w:r w:rsidR="000F6111">
        <w:t>3</w:t>
      </w:r>
      <w:r w:rsidR="000F6111" w:rsidRPr="000F6111">
        <w:rPr>
          <w:vertAlign w:val="superscript"/>
        </w:rPr>
        <w:t>rd</w:t>
      </w:r>
      <w:r w:rsidR="000F6111">
        <w:t xml:space="preserve"> Assessment Report (AR3)</w:t>
      </w:r>
      <w:r w:rsidR="006B20A4">
        <w:t>.</w:t>
      </w:r>
    </w:p>
    <w:p w14:paraId="2C03F0D7" w14:textId="7ACE3E59" w:rsidR="00141B48" w:rsidRDefault="003C1F73" w:rsidP="003C1F73">
      <w:pPr>
        <w:pStyle w:val="Heading2"/>
        <w:numPr>
          <w:ilvl w:val="0"/>
          <w:numId w:val="0"/>
        </w:numPr>
        <w:jc w:val="both"/>
      </w:pPr>
      <w:bookmarkStart w:id="614" w:name="_Toc109812425"/>
      <w:r>
        <w:t xml:space="preserve">4.10. </w:t>
      </w:r>
      <w:r w:rsidR="00141B48" w:rsidRPr="00141B48">
        <w:t>When do we use Notation keys when reporting on SAGERS?</w:t>
      </w:r>
      <w:bookmarkEnd w:id="614"/>
    </w:p>
    <w:p w14:paraId="07EC6C72" w14:textId="1FAF98B9" w:rsidR="00A93E20" w:rsidRDefault="00BC09E5" w:rsidP="00A93E20">
      <w:r w:rsidRPr="00BC09E5">
        <w:t>Notation keys are used when there are reasons as to why emissions are not estimated for a particular activity. The options under the notation key block and their explanation are presented in the below table:</w:t>
      </w:r>
    </w:p>
    <w:p w14:paraId="3357CBF1" w14:textId="3A8A5C9D" w:rsidR="003B2944" w:rsidRPr="003B2944" w:rsidRDefault="003B2944" w:rsidP="00A93E20">
      <w:pPr>
        <w:rPr>
          <w:sz w:val="20"/>
          <w:szCs w:val="20"/>
        </w:rPr>
      </w:pPr>
      <w:r w:rsidRPr="003B2944">
        <w:rPr>
          <w:sz w:val="20"/>
          <w:szCs w:val="20"/>
        </w:rPr>
        <w:t>Table 2: Notation keys</w:t>
      </w:r>
    </w:p>
    <w:tbl>
      <w:tblPr>
        <w:tblStyle w:val="TableGrid"/>
        <w:tblW w:w="0" w:type="auto"/>
        <w:tblLook w:val="04A0" w:firstRow="1" w:lastRow="0" w:firstColumn="1" w:lastColumn="0" w:noHBand="0" w:noVBand="1"/>
      </w:tblPr>
      <w:tblGrid>
        <w:gridCol w:w="2263"/>
        <w:gridCol w:w="6010"/>
      </w:tblGrid>
      <w:tr w:rsidR="00BC09E5" w:rsidRPr="00BC09E5" w14:paraId="4C88719D" w14:textId="77777777" w:rsidTr="00BC09E5">
        <w:tc>
          <w:tcPr>
            <w:tcW w:w="2263" w:type="dxa"/>
            <w:shd w:val="clear" w:color="auto" w:fill="006600"/>
            <w:vAlign w:val="center"/>
          </w:tcPr>
          <w:p w14:paraId="6924E418" w14:textId="07633629" w:rsidR="00BC09E5" w:rsidRPr="00BC09E5" w:rsidRDefault="00BC09E5" w:rsidP="00BC09E5">
            <w:pPr>
              <w:spacing w:after="0"/>
              <w:rPr>
                <w:b/>
                <w:sz w:val="22"/>
              </w:rPr>
            </w:pPr>
            <w:r w:rsidRPr="00BC09E5">
              <w:rPr>
                <w:b/>
                <w:sz w:val="22"/>
              </w:rPr>
              <w:t>Notation Key Definition</w:t>
            </w:r>
          </w:p>
        </w:tc>
        <w:tc>
          <w:tcPr>
            <w:tcW w:w="6010" w:type="dxa"/>
            <w:shd w:val="clear" w:color="auto" w:fill="006600"/>
            <w:vAlign w:val="center"/>
          </w:tcPr>
          <w:p w14:paraId="474F6953" w14:textId="04217327" w:rsidR="00BC09E5" w:rsidRPr="00BC09E5" w:rsidRDefault="00BC09E5" w:rsidP="00346DFE">
            <w:pPr>
              <w:spacing w:after="0"/>
              <w:jc w:val="center"/>
              <w:rPr>
                <w:b/>
                <w:sz w:val="22"/>
              </w:rPr>
            </w:pPr>
            <w:r w:rsidRPr="00BC09E5">
              <w:rPr>
                <w:b/>
                <w:sz w:val="22"/>
              </w:rPr>
              <w:t>Explanation</w:t>
            </w:r>
          </w:p>
        </w:tc>
      </w:tr>
      <w:tr w:rsidR="00BC09E5" w:rsidRPr="00BC09E5" w14:paraId="4256CDA8" w14:textId="77777777" w:rsidTr="00BC09E5">
        <w:tc>
          <w:tcPr>
            <w:tcW w:w="2263" w:type="dxa"/>
            <w:vAlign w:val="center"/>
          </w:tcPr>
          <w:p w14:paraId="297B736C" w14:textId="3D52A1A8" w:rsidR="00BC09E5" w:rsidRPr="00A31209" w:rsidRDefault="00BC09E5" w:rsidP="00BC09E5">
            <w:pPr>
              <w:spacing w:after="0"/>
              <w:rPr>
                <w:b/>
                <w:sz w:val="22"/>
              </w:rPr>
            </w:pPr>
            <w:r w:rsidRPr="00A31209">
              <w:rPr>
                <w:b/>
                <w:sz w:val="22"/>
              </w:rPr>
              <w:t>Not estimated</w:t>
            </w:r>
          </w:p>
        </w:tc>
        <w:tc>
          <w:tcPr>
            <w:tcW w:w="6010" w:type="dxa"/>
          </w:tcPr>
          <w:p w14:paraId="0007B27B" w14:textId="261090E9" w:rsidR="00BC09E5" w:rsidRPr="00BC09E5" w:rsidRDefault="00BC09E5" w:rsidP="00BC09E5">
            <w:pPr>
              <w:spacing w:after="0"/>
              <w:jc w:val="both"/>
              <w:rPr>
                <w:sz w:val="22"/>
              </w:rPr>
            </w:pPr>
            <w:r w:rsidRPr="00BC09E5">
              <w:rPr>
                <w:sz w:val="22"/>
              </w:rPr>
              <w:t xml:space="preserve">Emissions and/removals occur but have not been estimated and reported. </w:t>
            </w:r>
          </w:p>
        </w:tc>
      </w:tr>
      <w:tr w:rsidR="00BC09E5" w:rsidRPr="00BC09E5" w14:paraId="672BACEB" w14:textId="77777777" w:rsidTr="00BC09E5">
        <w:tc>
          <w:tcPr>
            <w:tcW w:w="2263" w:type="dxa"/>
            <w:vAlign w:val="center"/>
          </w:tcPr>
          <w:p w14:paraId="171C8FFC" w14:textId="6493FD2E" w:rsidR="00BC09E5" w:rsidRPr="00A31209" w:rsidRDefault="00BC09E5" w:rsidP="00BC09E5">
            <w:pPr>
              <w:spacing w:after="0"/>
              <w:rPr>
                <w:b/>
                <w:sz w:val="22"/>
              </w:rPr>
            </w:pPr>
            <w:r w:rsidRPr="00A31209">
              <w:rPr>
                <w:b/>
                <w:sz w:val="22"/>
              </w:rPr>
              <w:t>Included elsewhere</w:t>
            </w:r>
          </w:p>
        </w:tc>
        <w:tc>
          <w:tcPr>
            <w:tcW w:w="6010" w:type="dxa"/>
          </w:tcPr>
          <w:p w14:paraId="3DCC7184" w14:textId="1C64B2F1" w:rsidR="00BC09E5" w:rsidRPr="00BC09E5" w:rsidRDefault="00BC09E5" w:rsidP="00BC09E5">
            <w:pPr>
              <w:spacing w:after="0"/>
              <w:jc w:val="both"/>
              <w:rPr>
                <w:sz w:val="22"/>
              </w:rPr>
            </w:pPr>
            <w:r w:rsidRPr="00BC09E5">
              <w:rPr>
                <w:sz w:val="22"/>
              </w:rPr>
              <w:t xml:space="preserve">Emissions and/or removals are estimated but are not included in the facility under consideration </w:t>
            </w:r>
          </w:p>
        </w:tc>
      </w:tr>
      <w:tr w:rsidR="00BC09E5" w:rsidRPr="00BC09E5" w14:paraId="3D73687F" w14:textId="77777777" w:rsidTr="00BC09E5">
        <w:tc>
          <w:tcPr>
            <w:tcW w:w="2263" w:type="dxa"/>
            <w:vAlign w:val="center"/>
          </w:tcPr>
          <w:p w14:paraId="119596A7" w14:textId="5E318A3C" w:rsidR="00BC09E5" w:rsidRPr="00A31209" w:rsidRDefault="00BC09E5" w:rsidP="00BC09E5">
            <w:pPr>
              <w:spacing w:after="0"/>
              <w:rPr>
                <w:b/>
                <w:sz w:val="22"/>
              </w:rPr>
            </w:pPr>
            <w:r w:rsidRPr="00A31209">
              <w:rPr>
                <w:b/>
                <w:sz w:val="22"/>
              </w:rPr>
              <w:t>Not applicable</w:t>
            </w:r>
          </w:p>
        </w:tc>
        <w:tc>
          <w:tcPr>
            <w:tcW w:w="6010" w:type="dxa"/>
          </w:tcPr>
          <w:p w14:paraId="2D9112F7" w14:textId="77777777" w:rsidR="00BC09E5" w:rsidRPr="00BC09E5" w:rsidRDefault="00BC09E5" w:rsidP="00BC09E5">
            <w:pPr>
              <w:spacing w:after="0"/>
              <w:jc w:val="both"/>
              <w:rPr>
                <w:sz w:val="22"/>
                <w:lang w:val="en-ZA"/>
              </w:rPr>
            </w:pPr>
            <w:r w:rsidRPr="00BC09E5">
              <w:rPr>
                <w:sz w:val="22"/>
              </w:rPr>
              <w:t>The activity or category exists but relevant emissions and removals are</w:t>
            </w:r>
          </w:p>
          <w:p w14:paraId="32C151FF" w14:textId="3191482D" w:rsidR="00BC09E5" w:rsidRPr="00BC09E5" w:rsidRDefault="00BC09E5" w:rsidP="00BC09E5">
            <w:pPr>
              <w:spacing w:after="0"/>
              <w:jc w:val="both"/>
              <w:rPr>
                <w:sz w:val="22"/>
              </w:rPr>
            </w:pPr>
            <w:r>
              <w:rPr>
                <w:sz w:val="22"/>
              </w:rPr>
              <w:t>c</w:t>
            </w:r>
            <w:r w:rsidRPr="00BC09E5">
              <w:rPr>
                <w:sz w:val="22"/>
              </w:rPr>
              <w:t xml:space="preserve">onsidered never to occur. </w:t>
            </w:r>
          </w:p>
        </w:tc>
      </w:tr>
      <w:tr w:rsidR="00BC09E5" w:rsidRPr="00BC09E5" w14:paraId="4B8C4635" w14:textId="77777777" w:rsidTr="00BC09E5">
        <w:tc>
          <w:tcPr>
            <w:tcW w:w="2263" w:type="dxa"/>
            <w:vAlign w:val="center"/>
          </w:tcPr>
          <w:p w14:paraId="0F7CA735" w14:textId="2D8AB3E6" w:rsidR="00BC09E5" w:rsidRPr="00A31209" w:rsidRDefault="00BC09E5" w:rsidP="00BC09E5">
            <w:pPr>
              <w:spacing w:after="0"/>
              <w:rPr>
                <w:b/>
                <w:sz w:val="22"/>
              </w:rPr>
            </w:pPr>
            <w:r w:rsidRPr="00A31209">
              <w:rPr>
                <w:b/>
                <w:sz w:val="22"/>
              </w:rPr>
              <w:t>Not occurring</w:t>
            </w:r>
          </w:p>
        </w:tc>
        <w:tc>
          <w:tcPr>
            <w:tcW w:w="6010" w:type="dxa"/>
          </w:tcPr>
          <w:p w14:paraId="3C275247" w14:textId="3D245852" w:rsidR="00BC09E5" w:rsidRPr="00BC09E5" w:rsidRDefault="00BC09E5" w:rsidP="00BC09E5">
            <w:pPr>
              <w:spacing w:after="0"/>
              <w:jc w:val="both"/>
              <w:rPr>
                <w:sz w:val="22"/>
              </w:rPr>
            </w:pPr>
            <w:r w:rsidRPr="00BC09E5">
              <w:rPr>
                <w:sz w:val="22"/>
              </w:rPr>
              <w:t>An activity or process does not exist within a facility.</w:t>
            </w:r>
          </w:p>
        </w:tc>
      </w:tr>
    </w:tbl>
    <w:p w14:paraId="4D97AD35" w14:textId="14C7BE45" w:rsidR="00BC09E5" w:rsidRDefault="00BC09E5" w:rsidP="00A93E20"/>
    <w:p w14:paraId="28AC7510" w14:textId="7D839F54" w:rsidR="00971D81" w:rsidRDefault="003C1F73" w:rsidP="003C1F73">
      <w:pPr>
        <w:pStyle w:val="Heading2"/>
        <w:numPr>
          <w:ilvl w:val="0"/>
          <w:numId w:val="0"/>
        </w:numPr>
        <w:jc w:val="both"/>
      </w:pPr>
      <w:bookmarkStart w:id="615" w:name="_Toc109812426"/>
      <w:r>
        <w:t xml:space="preserve">4.11. </w:t>
      </w:r>
      <w:r w:rsidR="00971D81" w:rsidRPr="00971D81">
        <w:t>Are we able to choose different Tier methods on SAGERS for different fuels when reporting?</w:t>
      </w:r>
      <w:bookmarkEnd w:id="615"/>
    </w:p>
    <w:p w14:paraId="6EDD8F4B" w14:textId="6F983CE3" w:rsidR="00BE5C3A" w:rsidRDefault="00BE5C3A" w:rsidP="00843622">
      <w:pPr>
        <w:jc w:val="both"/>
      </w:pPr>
      <w:r>
        <w:t xml:space="preserve">No, currently Tier methods are chosen at a </w:t>
      </w:r>
      <w:r w:rsidR="00B77CC8">
        <w:t>greenhouse gas</w:t>
      </w:r>
      <w:r>
        <w:t xml:space="preserve"> level not a fuel level.</w:t>
      </w:r>
      <w:r w:rsidR="00B77CC8">
        <w:t xml:space="preserve"> However, we are currently communicating with the system developers to allow for the choice to be made at a fuel level.</w:t>
      </w:r>
    </w:p>
    <w:p w14:paraId="345DF7CC" w14:textId="3C6E4EDA" w:rsidR="000A5D3A" w:rsidRDefault="003C1F73" w:rsidP="003C1F73">
      <w:pPr>
        <w:pStyle w:val="Heading2"/>
        <w:numPr>
          <w:ilvl w:val="0"/>
          <w:numId w:val="0"/>
        </w:numPr>
      </w:pPr>
      <w:bookmarkStart w:id="616" w:name="_Toc95209873"/>
      <w:bookmarkStart w:id="617" w:name="_Toc109812427"/>
      <w:r>
        <w:t xml:space="preserve">4.12. </w:t>
      </w:r>
      <w:r w:rsidR="000A5D3A">
        <w:t>Is the GHG Report linked to the registration of the company?</w:t>
      </w:r>
      <w:bookmarkEnd w:id="616"/>
      <w:bookmarkEnd w:id="617"/>
    </w:p>
    <w:p w14:paraId="19CDDF12" w14:textId="71DEFC98" w:rsidR="00FB37E4" w:rsidRDefault="000A5D3A" w:rsidP="00A31209">
      <w:pPr>
        <w:jc w:val="both"/>
      </w:pPr>
      <w:r>
        <w:t>Yes, the GHG Report template is generated based on the registration information for the company, therefore IPCC codes cannot be added to the report once generated in the report</w:t>
      </w:r>
      <w:r w:rsidR="698FCCE7">
        <w:t>, a data provider must initiate a modification submission on the SAGERS in order for additional IPCC activities to reflect on the GHG report template</w:t>
      </w:r>
    </w:p>
    <w:p w14:paraId="79172BE6" w14:textId="27C2365C" w:rsidR="000F36B3" w:rsidRDefault="003C1F73" w:rsidP="003C1F73">
      <w:pPr>
        <w:pStyle w:val="Heading2"/>
        <w:numPr>
          <w:ilvl w:val="0"/>
          <w:numId w:val="0"/>
        </w:numPr>
      </w:pPr>
      <w:bookmarkStart w:id="618" w:name="_Toc95209874"/>
      <w:bookmarkStart w:id="619" w:name="_Toc109812428"/>
      <w:r>
        <w:t xml:space="preserve">4.13. </w:t>
      </w:r>
      <w:r w:rsidR="00BE1F15">
        <w:t xml:space="preserve">Do I still need to report after I have deregistered </w:t>
      </w:r>
      <w:r w:rsidR="00561196">
        <w:t>the Data Provider</w:t>
      </w:r>
      <w:r w:rsidR="00E47D1E">
        <w:t>/ facility during the previous reporting cycle</w:t>
      </w:r>
      <w:r w:rsidR="00561196">
        <w:t>?</w:t>
      </w:r>
      <w:bookmarkEnd w:id="618"/>
      <w:bookmarkEnd w:id="619"/>
    </w:p>
    <w:p w14:paraId="02D159D7" w14:textId="3942B180" w:rsidR="00561196" w:rsidRDefault="00397B5A" w:rsidP="00561196">
      <w:pPr>
        <w:jc w:val="both"/>
      </w:pPr>
      <w:r>
        <w:t>A data provider will have to report on the GHG emission from their operation during the time for which the data provider was still eligible to report, prior to the deregistration</w:t>
      </w:r>
      <w:r w:rsidR="00561196">
        <w:t xml:space="preserve">. For instance, if the data provider was deregistered </w:t>
      </w:r>
      <w:r w:rsidR="007B60A3">
        <w:t>in Ju</w:t>
      </w:r>
      <w:r w:rsidR="00013790">
        <w:t>ly</w:t>
      </w:r>
      <w:r w:rsidR="007B60A3">
        <w:t xml:space="preserve"> 2021, this data provider will still need to report</w:t>
      </w:r>
      <w:r w:rsidR="00503873">
        <w:t xml:space="preserve"> during the 2022 reporting cycle. The data provider would report on</w:t>
      </w:r>
      <w:r w:rsidR="00AC41DB">
        <w:t xml:space="preserve"> the emissions from January 2021 until June 2021</w:t>
      </w:r>
      <w:r w:rsidR="00DF0009">
        <w:t xml:space="preserve"> since the data provider was still operational</w:t>
      </w:r>
      <w:r w:rsidR="00F92BA4">
        <w:t xml:space="preserve"> and eligible for reporting</w:t>
      </w:r>
      <w:r w:rsidR="00DF0009">
        <w:t xml:space="preserve"> </w:t>
      </w:r>
      <w:r w:rsidR="00013790">
        <w:t>during those months.</w:t>
      </w:r>
      <w:r>
        <w:t xml:space="preserve"> </w:t>
      </w:r>
    </w:p>
    <w:p w14:paraId="681BDD25" w14:textId="7898774B" w:rsidR="00C06D2E" w:rsidRDefault="00040FBE" w:rsidP="00040FBE">
      <w:pPr>
        <w:pStyle w:val="Heading2"/>
        <w:numPr>
          <w:ilvl w:val="0"/>
          <w:numId w:val="0"/>
        </w:numPr>
      </w:pPr>
      <w:bookmarkStart w:id="620" w:name="_Toc95209875"/>
      <w:bookmarkStart w:id="621" w:name="_Toc109812429"/>
      <w:r>
        <w:t xml:space="preserve">4.14. </w:t>
      </w:r>
      <w:r w:rsidR="00C06D2E">
        <w:t>Can</w:t>
      </w:r>
      <w:r w:rsidR="005179AB">
        <w:t xml:space="preserve"> I</w:t>
      </w:r>
      <w:r w:rsidR="0005443F">
        <w:t xml:space="preserve"> deregister a data provider</w:t>
      </w:r>
      <w:r w:rsidR="00D03896">
        <w:t>/facility</w:t>
      </w:r>
      <w:r w:rsidR="0005443F">
        <w:t xml:space="preserve"> after an executive decision has been</w:t>
      </w:r>
      <w:r w:rsidR="008874A0">
        <w:t xml:space="preserve"> made to no longer operate the plant?</w:t>
      </w:r>
      <w:bookmarkEnd w:id="620"/>
      <w:bookmarkEnd w:id="621"/>
    </w:p>
    <w:p w14:paraId="4973A413" w14:textId="7005D824" w:rsidR="00E47D1E" w:rsidRPr="00055BD6" w:rsidRDefault="00055BD6" w:rsidP="00055BD6">
      <w:pPr>
        <w:jc w:val="both"/>
      </w:pPr>
      <w:r w:rsidRPr="00055BD6">
        <w:t>A data provider must notify, in writing, the competent authority of any change in respect of the data provider’s registration de</w:t>
      </w:r>
      <w:r>
        <w:t>tails as listed in Annexure 2 of</w:t>
      </w:r>
      <w:r w:rsidRPr="00055BD6">
        <w:t xml:space="preserve"> </w:t>
      </w:r>
      <w:r>
        <w:t xml:space="preserve">the </w:t>
      </w:r>
      <w:r w:rsidRPr="00103A7F">
        <w:rPr>
          <w:lang w:val="en-ZA"/>
        </w:rPr>
        <w:t>National Greenhouse Gas (GHG) Emissions Reporting Regulations of 3rd April 2017</w:t>
      </w:r>
      <w:r>
        <w:rPr>
          <w:lang w:val="en-ZA"/>
        </w:rPr>
        <w:t xml:space="preserve"> </w:t>
      </w:r>
      <w:r w:rsidRPr="00055BD6">
        <w:t>within 30 days from the date the data provider became aware of such change occurring.</w:t>
      </w:r>
    </w:p>
    <w:p w14:paraId="0985E3FA" w14:textId="4AD7A515" w:rsidR="007015E7" w:rsidRDefault="008D4E27" w:rsidP="00A31209">
      <w:pPr>
        <w:jc w:val="both"/>
      </w:pPr>
      <w:r>
        <w:t>D</w:t>
      </w:r>
      <w:r w:rsidR="008874A0">
        <w:t>ata provider</w:t>
      </w:r>
      <w:r w:rsidR="00D03896">
        <w:t>/facility</w:t>
      </w:r>
      <w:r w:rsidR="008874A0">
        <w:t xml:space="preserve"> should only be deregistered after the plant has officially been decommissioned. If there is some delay between the decision being made and the </w:t>
      </w:r>
      <w:r w:rsidR="00D03896">
        <w:t>decommissioning</w:t>
      </w:r>
      <w:r w:rsidR="008874A0">
        <w:t xml:space="preserve"> </w:t>
      </w:r>
      <w:r w:rsidR="00D03896">
        <w:t>happening, the data provider will still have to report on SAGERS. If the plant is not used during that time, the data provider will report zero throughputs</w:t>
      </w:r>
      <w:r w:rsidR="002121A1">
        <w:t xml:space="preserve"> and comments,</w:t>
      </w:r>
      <w:r w:rsidR="00D03896">
        <w:t xml:space="preserve"> until the decommissioning has occurred</w:t>
      </w:r>
      <w:r w:rsidR="00776081">
        <w:t>,</w:t>
      </w:r>
      <w:r w:rsidR="00D03896">
        <w:t xml:space="preserve"> and the data provider/facility has been deregistered on SAGERS.</w:t>
      </w:r>
    </w:p>
    <w:p w14:paraId="0A3255E0" w14:textId="2BF23BCF" w:rsidR="009D21A3" w:rsidRDefault="00040FBE" w:rsidP="00040FBE">
      <w:pPr>
        <w:pStyle w:val="Heading2"/>
        <w:numPr>
          <w:ilvl w:val="0"/>
          <w:numId w:val="0"/>
        </w:numPr>
      </w:pPr>
      <w:bookmarkStart w:id="622" w:name="_Toc109812430"/>
      <w:r>
        <w:t xml:space="preserve">4.15. </w:t>
      </w:r>
      <w:r w:rsidR="00C460D0">
        <w:t xml:space="preserve">When reporting emissions from </w:t>
      </w:r>
      <w:r w:rsidR="00C4733C">
        <w:t>the IPPU Sector</w:t>
      </w:r>
      <w:r w:rsidR="001F1399">
        <w:t xml:space="preserve"> Metal Industry, do I need to report emissions from secondary production of metals</w:t>
      </w:r>
      <w:r w:rsidR="00D642FE">
        <w:t>?</w:t>
      </w:r>
      <w:bookmarkEnd w:id="622"/>
    </w:p>
    <w:p w14:paraId="3F5F09B1" w14:textId="4C18F689" w:rsidR="00DD2E30" w:rsidRDefault="00DD2E30" w:rsidP="00DD2E30">
      <w:r>
        <w:t>You only report emissions for secondary production</w:t>
      </w:r>
      <w:r w:rsidR="00A83B2B">
        <w:t xml:space="preserve"> of metals for the following metals:</w:t>
      </w:r>
    </w:p>
    <w:p w14:paraId="63C1290B" w14:textId="2C1ED3D8" w:rsidR="00A83B2B" w:rsidRDefault="00A83B2B" w:rsidP="009D08FD">
      <w:pPr>
        <w:pStyle w:val="ListParagraph"/>
        <w:numPr>
          <w:ilvl w:val="0"/>
          <w:numId w:val="16"/>
        </w:numPr>
      </w:pPr>
      <w:r>
        <w:t>Magnesium Production</w:t>
      </w:r>
    </w:p>
    <w:p w14:paraId="226A93B9" w14:textId="6DC5D53B" w:rsidR="00A83B2B" w:rsidRDefault="00A83B2B" w:rsidP="009D08FD">
      <w:pPr>
        <w:pStyle w:val="ListParagraph"/>
        <w:numPr>
          <w:ilvl w:val="0"/>
          <w:numId w:val="16"/>
        </w:numPr>
      </w:pPr>
      <w:r>
        <w:t>Lead Production</w:t>
      </w:r>
    </w:p>
    <w:p w14:paraId="46DACB3E" w14:textId="1B6EF034" w:rsidR="00A83B2B" w:rsidRDefault="00A83B2B" w:rsidP="009D08FD">
      <w:pPr>
        <w:pStyle w:val="ListParagraph"/>
        <w:numPr>
          <w:ilvl w:val="0"/>
          <w:numId w:val="16"/>
        </w:numPr>
      </w:pPr>
      <w:r>
        <w:t>Zinc Production</w:t>
      </w:r>
    </w:p>
    <w:p w14:paraId="5CF3909D" w14:textId="55CE84E9" w:rsidR="00A83B2B" w:rsidRDefault="00A83B2B" w:rsidP="00DD2E30">
      <w:r>
        <w:t>Please refer to the Technical Guidelines and the 2006 IPPC Guidelines</w:t>
      </w:r>
      <w:r w:rsidR="00924BBD">
        <w:t xml:space="preserve"> Volume </w:t>
      </w:r>
      <w:r w:rsidR="00850C1E">
        <w:t>3 for further clarity on emission estimation</w:t>
      </w:r>
      <w:r w:rsidR="00333E86">
        <w:t xml:space="preserve"> and processes</w:t>
      </w:r>
      <w:r w:rsidR="00EC2844">
        <w:t xml:space="preserve"> covered</w:t>
      </w:r>
      <w:r w:rsidR="00333E86">
        <w:t>.</w:t>
      </w:r>
    </w:p>
    <w:p w14:paraId="4E16B777" w14:textId="55779074" w:rsidR="00C032B3" w:rsidRDefault="00040FBE" w:rsidP="00040FBE">
      <w:pPr>
        <w:pStyle w:val="Heading2"/>
        <w:numPr>
          <w:ilvl w:val="0"/>
          <w:numId w:val="0"/>
        </w:numPr>
      </w:pPr>
      <w:bookmarkStart w:id="623" w:name="_Toc109812431"/>
      <w:r>
        <w:t xml:space="preserve">4.16. </w:t>
      </w:r>
      <w:r w:rsidR="00C032B3">
        <w:t>When reporting on fugitive emissions from mining</w:t>
      </w:r>
      <w:r w:rsidR="00D96D40">
        <w:t xml:space="preserve">, what </w:t>
      </w:r>
      <w:r w:rsidR="00806B5A">
        <w:t>activity data is expected</w:t>
      </w:r>
      <w:r w:rsidR="00D96D40">
        <w:t xml:space="preserve"> in the GHG Report when asked for </w:t>
      </w:r>
      <w:r w:rsidR="00C35057">
        <w:t>“Amount of coal produced”, does this mean the Run of Mine (ROM) of the coal sold</w:t>
      </w:r>
      <w:r w:rsidR="003A0B28">
        <w:t>.</w:t>
      </w:r>
      <w:bookmarkEnd w:id="623"/>
    </w:p>
    <w:p w14:paraId="15571D36" w14:textId="77777777" w:rsidR="003A0B28" w:rsidRDefault="00C3140C" w:rsidP="0076407E">
      <w:r>
        <w:t xml:space="preserve">The </w:t>
      </w:r>
      <w:r w:rsidR="00086572">
        <w:t>activity data to be provided here is ROM</w:t>
      </w:r>
      <w:r w:rsidR="005B582D">
        <w:t xml:space="preserve">, not the coal that has been sold. </w:t>
      </w:r>
      <w:r w:rsidR="00DC6454">
        <w:t xml:space="preserve">ROM is defined as </w:t>
      </w:r>
      <w:r w:rsidR="00CF7C4E">
        <w:t xml:space="preserve">“ore in its </w:t>
      </w:r>
      <w:r w:rsidR="00DA742B">
        <w:t>natural, unprocessed state”</w:t>
      </w:r>
      <w:r w:rsidR="00967F68">
        <w:t xml:space="preserve">. </w:t>
      </w:r>
    </w:p>
    <w:p w14:paraId="0EC21E72" w14:textId="77777777" w:rsidR="00257745" w:rsidRPr="003A0B28" w:rsidRDefault="00257745" w:rsidP="0076407E"/>
    <w:p w14:paraId="1D7B7864" w14:textId="620311C1" w:rsidR="00257745" w:rsidRPr="007F2859" w:rsidRDefault="00257745" w:rsidP="0076407E">
      <w:pPr>
        <w:pStyle w:val="Heading1"/>
        <w:numPr>
          <w:ilvl w:val="0"/>
          <w:numId w:val="0"/>
        </w:numPr>
        <w:ind w:left="357" w:hanging="357"/>
      </w:pPr>
      <w:bookmarkStart w:id="624" w:name="_Toc109812432"/>
      <w:r>
        <w:t>5. Technical Questions</w:t>
      </w:r>
      <w:bookmarkEnd w:id="624"/>
    </w:p>
    <w:p w14:paraId="77BBF728" w14:textId="3803FD13" w:rsidR="007015E7" w:rsidRPr="0056761F" w:rsidRDefault="0056761F" w:rsidP="009D08FD">
      <w:pPr>
        <w:pStyle w:val="Heading2"/>
        <w:numPr>
          <w:ilvl w:val="1"/>
          <w:numId w:val="18"/>
        </w:numPr>
      </w:pPr>
      <w:r>
        <w:rPr>
          <w:lang w:val="en-ZA"/>
        </w:rPr>
        <w:t xml:space="preserve"> </w:t>
      </w:r>
      <w:bookmarkStart w:id="625" w:name="_Toc109812433"/>
      <w:r w:rsidRPr="0056761F">
        <w:rPr>
          <w:lang w:val="en-ZA"/>
        </w:rPr>
        <w:t>Are there any other sequestration guidelines that may be applicable to   unmanaged forest land?</w:t>
      </w:r>
      <w:bookmarkEnd w:id="625"/>
      <w:r w:rsidRPr="0056761F">
        <w:rPr>
          <w:lang w:val="en-ZA"/>
        </w:rPr>
        <w:t xml:space="preserve">  </w:t>
      </w:r>
    </w:p>
    <w:p w14:paraId="1B5143F1" w14:textId="77FE78FE" w:rsidR="0069452C" w:rsidRPr="006C3249" w:rsidRDefault="32888064" w:rsidP="006C3249">
      <w:pPr>
        <w:jc w:val="both"/>
        <w:rPr>
          <w:color w:val="212121"/>
        </w:rPr>
      </w:pPr>
      <w:r w:rsidRPr="550EA6F6">
        <w:rPr>
          <w:color w:val="212121"/>
        </w:rPr>
        <w:t xml:space="preserve">The department published the Methodological Guidelines for Quantification of Greenhouse Gas Emissions – Carbon Sequestration in the Forestry Industry. </w:t>
      </w:r>
      <w:r w:rsidR="488D442A" w:rsidRPr="550EA6F6">
        <w:rPr>
          <w:color w:val="212121"/>
        </w:rPr>
        <w:t>Please note that only managed forest land is eligible to comply. Therefore, natural forests or woodlands are excluded from accounting, but only if they are not managed</w:t>
      </w:r>
      <w:r w:rsidR="0052682F">
        <w:rPr>
          <w:color w:val="212121"/>
        </w:rPr>
        <w:t xml:space="preserve"> (</w:t>
      </w:r>
      <w:r w:rsidR="0052682F" w:rsidRPr="0052682F">
        <w:rPr>
          <w:color w:val="212121"/>
        </w:rPr>
        <w:t>managed forests</w:t>
      </w:r>
      <w:r w:rsidR="0052682F">
        <w:rPr>
          <w:color w:val="212121"/>
        </w:rPr>
        <w:t xml:space="preserve"> and woodlands are </w:t>
      </w:r>
      <w:r w:rsidR="0052682F" w:rsidRPr="0052682F">
        <w:rPr>
          <w:color w:val="212121"/>
        </w:rPr>
        <w:t>eligible</w:t>
      </w:r>
      <w:r w:rsidR="0032427C">
        <w:rPr>
          <w:color w:val="212121"/>
        </w:rPr>
        <w:t xml:space="preserve"> for reporting</w:t>
      </w:r>
      <w:r w:rsidR="0052682F">
        <w:rPr>
          <w:color w:val="212121"/>
        </w:rPr>
        <w:t>)</w:t>
      </w:r>
      <w:r w:rsidR="488D442A" w:rsidRPr="550EA6F6">
        <w:rPr>
          <w:color w:val="212121"/>
        </w:rPr>
        <w:t>.</w:t>
      </w:r>
    </w:p>
    <w:p w14:paraId="380628C5" w14:textId="1BFFF37E" w:rsidR="007015E7" w:rsidRPr="0056761F" w:rsidRDefault="00DE7E47" w:rsidP="009D08FD">
      <w:pPr>
        <w:pStyle w:val="Heading2"/>
        <w:numPr>
          <w:ilvl w:val="1"/>
          <w:numId w:val="18"/>
        </w:numPr>
      </w:pPr>
      <w:bookmarkStart w:id="626" w:name="_Toc95209878"/>
      <w:r w:rsidRPr="0056761F">
        <w:t xml:space="preserve"> </w:t>
      </w:r>
      <w:bookmarkStart w:id="627" w:name="_Toc109812434"/>
      <w:r w:rsidR="006C3249" w:rsidRPr="0056761F">
        <w:t>Do</w:t>
      </w:r>
      <w:r w:rsidR="007015E7" w:rsidRPr="0056761F">
        <w:t xml:space="preserve"> the fruit tree plantations fall within the definition of “Forest”, could they be considered Forest land?</w:t>
      </w:r>
      <w:bookmarkEnd w:id="626"/>
      <w:bookmarkEnd w:id="627"/>
    </w:p>
    <w:p w14:paraId="08BED505" w14:textId="77777777" w:rsidR="006C3249" w:rsidRPr="006C3249" w:rsidRDefault="006C3249" w:rsidP="006C3249">
      <w:pPr>
        <w:spacing w:after="0" w:line="240" w:lineRule="auto"/>
        <w:jc w:val="both"/>
        <w:rPr>
          <w:rFonts w:eastAsia="Calibri" w:cs="Calibri"/>
          <w:szCs w:val="24"/>
          <w:lang w:val="en-GB" w:eastAsia="en-ZA"/>
        </w:rPr>
      </w:pPr>
      <w:r w:rsidRPr="006C3249">
        <w:rPr>
          <w:rFonts w:eastAsia="Calibri" w:cs="Calibri"/>
          <w:szCs w:val="24"/>
          <w:lang w:val="en-GB" w:eastAsia="en-ZA"/>
        </w:rPr>
        <w:t>Please note the definition of forest below:</w:t>
      </w:r>
    </w:p>
    <w:p w14:paraId="1BFEE621" w14:textId="77777777" w:rsidR="006C3249" w:rsidRPr="006C3249" w:rsidRDefault="006C3249" w:rsidP="006C3249">
      <w:pPr>
        <w:spacing w:after="0" w:line="240" w:lineRule="auto"/>
        <w:jc w:val="both"/>
        <w:rPr>
          <w:rFonts w:eastAsia="Calibri" w:cs="Calibri"/>
          <w:szCs w:val="24"/>
          <w:lang w:val="en-GB" w:eastAsia="en-ZA"/>
        </w:rPr>
      </w:pPr>
      <w:r w:rsidRPr="006C3249">
        <w:rPr>
          <w:rFonts w:eastAsia="Calibri" w:cs="Calibri"/>
          <w:szCs w:val="24"/>
          <w:lang w:val="en-GB" w:eastAsia="en-ZA"/>
        </w:rPr>
        <w:t>“</w:t>
      </w:r>
      <w:r w:rsidRPr="006C3249">
        <w:rPr>
          <w:rFonts w:eastAsia="Calibri" w:cs="Calibri"/>
          <w:b/>
          <w:bCs/>
          <w:szCs w:val="24"/>
          <w:lang w:val="en-GB" w:eastAsia="en-ZA"/>
        </w:rPr>
        <w:t>forest</w:t>
      </w:r>
      <w:r w:rsidRPr="006C3249">
        <w:rPr>
          <w:rFonts w:eastAsia="Calibri" w:cs="Calibri"/>
          <w:szCs w:val="24"/>
          <w:lang w:val="en-GB" w:eastAsia="en-ZA"/>
        </w:rPr>
        <w:t>” definition from the National Forest Act (Act 84 of 1998) (NFA) states that:</w:t>
      </w:r>
    </w:p>
    <w:p w14:paraId="1CCF3424" w14:textId="77777777" w:rsidR="006C3249" w:rsidRPr="006C3249" w:rsidRDefault="006C3249" w:rsidP="009D08FD">
      <w:pPr>
        <w:numPr>
          <w:ilvl w:val="1"/>
          <w:numId w:val="13"/>
        </w:numPr>
        <w:spacing w:after="0" w:line="240" w:lineRule="auto"/>
        <w:jc w:val="both"/>
        <w:rPr>
          <w:rFonts w:eastAsia="Calibri" w:cs="Calibri"/>
          <w:szCs w:val="24"/>
          <w:lang w:val="en-GB" w:eastAsia="en-ZA"/>
        </w:rPr>
      </w:pPr>
      <w:r w:rsidRPr="006C3249">
        <w:rPr>
          <w:rFonts w:eastAsia="Calibri" w:cs="Calibri"/>
          <w:szCs w:val="24"/>
          <w:lang w:val="en-GB" w:eastAsia="en-ZA"/>
        </w:rPr>
        <w:t>“forest” includes a natural forest, a woodland and a plantation (Section 1(2)(x) of NFA).</w:t>
      </w:r>
    </w:p>
    <w:p w14:paraId="54100CBD" w14:textId="77777777" w:rsidR="006C3249" w:rsidRPr="006C3249" w:rsidRDefault="006C3249" w:rsidP="009D08FD">
      <w:pPr>
        <w:numPr>
          <w:ilvl w:val="1"/>
          <w:numId w:val="13"/>
        </w:numPr>
        <w:spacing w:after="0" w:line="240" w:lineRule="auto"/>
        <w:jc w:val="both"/>
        <w:rPr>
          <w:rFonts w:eastAsia="Calibri" w:cs="Calibri"/>
          <w:szCs w:val="24"/>
          <w:lang w:val="en-GB" w:eastAsia="en-ZA"/>
        </w:rPr>
      </w:pPr>
      <w:r w:rsidRPr="006C3249">
        <w:rPr>
          <w:rFonts w:eastAsia="Calibri" w:cs="Calibri"/>
          <w:szCs w:val="24"/>
          <w:lang w:val="en-GB" w:eastAsia="en-ZA"/>
        </w:rPr>
        <w:t>“natural forest” means a group of trees whose crowns are largely contiguous, or which have been declared by the Minister to be a natural forest (Section 1(2)(xx) of NFA).</w:t>
      </w:r>
    </w:p>
    <w:p w14:paraId="06C58954" w14:textId="77777777" w:rsidR="006C3249" w:rsidRPr="006C3249" w:rsidRDefault="006C3249" w:rsidP="009D08FD">
      <w:pPr>
        <w:numPr>
          <w:ilvl w:val="1"/>
          <w:numId w:val="13"/>
        </w:numPr>
        <w:spacing w:after="0" w:line="240" w:lineRule="auto"/>
        <w:jc w:val="both"/>
        <w:rPr>
          <w:rFonts w:eastAsia="Calibri" w:cs="Calibri"/>
          <w:szCs w:val="24"/>
          <w:lang w:val="en-GB" w:eastAsia="en-ZA"/>
        </w:rPr>
      </w:pPr>
      <w:r w:rsidRPr="006C3249">
        <w:rPr>
          <w:rFonts w:eastAsia="Calibri" w:cs="Calibri"/>
          <w:szCs w:val="24"/>
          <w:lang w:val="en-GB" w:eastAsia="en-ZA"/>
        </w:rPr>
        <w:t xml:space="preserve">“plantation” means a group of trees cultivated for exploitation of the wood, bark, leaves or essential oils (Section 1(2)(xxii) of NFA). </w:t>
      </w:r>
    </w:p>
    <w:p w14:paraId="633206BF" w14:textId="77777777" w:rsidR="006C3249" w:rsidRPr="006C3249" w:rsidRDefault="006C3249" w:rsidP="009D08FD">
      <w:pPr>
        <w:numPr>
          <w:ilvl w:val="1"/>
          <w:numId w:val="13"/>
        </w:numPr>
        <w:spacing w:after="0" w:line="240" w:lineRule="auto"/>
        <w:jc w:val="both"/>
        <w:rPr>
          <w:rFonts w:eastAsia="Calibri" w:cs="Calibri"/>
          <w:szCs w:val="24"/>
          <w:lang w:val="en-GB" w:eastAsia="en-ZA"/>
        </w:rPr>
      </w:pPr>
      <w:r w:rsidRPr="006C3249">
        <w:rPr>
          <w:rFonts w:eastAsia="Calibri" w:cs="Calibri"/>
          <w:szCs w:val="24"/>
          <w:lang w:val="en-GB" w:eastAsia="en-ZA"/>
        </w:rPr>
        <w:t xml:space="preserve">“woodland” means a group of indigenous trees which are not a natural forest, but whose crowns cover more than five percent of the area bounded by the trees forming the perimeter of the group (Section 1(2)(xxxix) of NFA). </w:t>
      </w:r>
    </w:p>
    <w:p w14:paraId="1139C62D" w14:textId="77777777" w:rsidR="006C3249" w:rsidRPr="006C3249" w:rsidRDefault="006C3249" w:rsidP="006C3249">
      <w:pPr>
        <w:spacing w:after="0" w:line="240" w:lineRule="auto"/>
        <w:ind w:left="1440"/>
        <w:jc w:val="both"/>
        <w:rPr>
          <w:rFonts w:eastAsia="Calibri" w:cs="Calibri"/>
          <w:szCs w:val="24"/>
          <w:lang w:val="en-GB" w:eastAsia="en-ZA"/>
        </w:rPr>
      </w:pPr>
    </w:p>
    <w:p w14:paraId="70745854" w14:textId="19D15BF2" w:rsidR="006C3249" w:rsidRDefault="32888064" w:rsidP="550EA6F6">
      <w:pPr>
        <w:spacing w:after="0" w:line="240" w:lineRule="auto"/>
        <w:jc w:val="both"/>
        <w:rPr>
          <w:rFonts w:eastAsia="Calibri" w:cs="Calibri"/>
          <w:lang w:val="en-GB" w:eastAsia="en-ZA"/>
        </w:rPr>
      </w:pPr>
      <w:r w:rsidRPr="550EA6F6">
        <w:rPr>
          <w:rFonts w:eastAsia="Calibri" w:cs="Calibri"/>
          <w:lang w:eastAsia="en-ZA"/>
        </w:rPr>
        <w:t xml:space="preserve">Therefore, based on the above definition by the </w:t>
      </w:r>
      <w:r w:rsidRPr="550EA6F6">
        <w:rPr>
          <w:rFonts w:eastAsia="Calibri" w:cs="Calibri"/>
          <w:lang w:val="en-GB" w:eastAsia="en-ZA"/>
        </w:rPr>
        <w:t xml:space="preserve">National Forest Act (Act 84 of 1998) (NFA), your </w:t>
      </w:r>
      <w:r w:rsidRPr="550EA6F6">
        <w:rPr>
          <w:rFonts w:eastAsia="Calibri" w:cs="Calibri"/>
          <w:lang w:eastAsia="en-ZA"/>
        </w:rPr>
        <w:t xml:space="preserve">fruit tree plantations </w:t>
      </w:r>
      <w:r w:rsidR="00BD1781">
        <w:rPr>
          <w:rFonts w:eastAsia="Calibri" w:cs="Calibri"/>
          <w:lang w:eastAsia="en-ZA"/>
        </w:rPr>
        <w:t xml:space="preserve">does not </w:t>
      </w:r>
      <w:r w:rsidRPr="550EA6F6">
        <w:rPr>
          <w:rFonts w:eastAsia="Calibri" w:cs="Calibri"/>
          <w:lang w:eastAsia="en-ZA"/>
        </w:rPr>
        <w:t xml:space="preserve">fall within the definition of “Forest”. However, </w:t>
      </w:r>
      <w:r w:rsidR="00BD1781">
        <w:rPr>
          <w:rFonts w:eastAsia="Calibri" w:cs="Calibri"/>
          <w:lang w:val="en-GB" w:eastAsia="en-ZA"/>
        </w:rPr>
        <w:t>only managed forest</w:t>
      </w:r>
      <w:r w:rsidRPr="550EA6F6">
        <w:rPr>
          <w:rFonts w:eastAsia="Calibri" w:cs="Calibri"/>
          <w:lang w:val="en-GB" w:eastAsia="en-ZA"/>
        </w:rPr>
        <w:t xml:space="preserve"> are eligible to comply.</w:t>
      </w:r>
    </w:p>
    <w:p w14:paraId="0FC103B2" w14:textId="6A20CF54" w:rsidR="00F238C5" w:rsidRDefault="00F238C5" w:rsidP="550EA6F6">
      <w:pPr>
        <w:spacing w:after="0" w:line="240" w:lineRule="auto"/>
        <w:jc w:val="both"/>
        <w:rPr>
          <w:rFonts w:eastAsia="Calibri" w:cs="Calibri"/>
          <w:lang w:val="en-GB" w:eastAsia="en-ZA"/>
        </w:rPr>
      </w:pPr>
    </w:p>
    <w:p w14:paraId="07BEAF92" w14:textId="7028A951" w:rsidR="00F238C5" w:rsidRDefault="00F238C5" w:rsidP="550EA6F6">
      <w:pPr>
        <w:spacing w:after="0" w:line="240" w:lineRule="auto"/>
        <w:jc w:val="both"/>
        <w:rPr>
          <w:rFonts w:eastAsia="Calibri" w:cs="Calibri"/>
          <w:lang w:val="en-GB" w:eastAsia="en-ZA"/>
        </w:rPr>
      </w:pPr>
      <w:r w:rsidRPr="00F238C5">
        <w:rPr>
          <w:rFonts w:eastAsia="Calibri" w:cs="Calibri"/>
          <w:bCs/>
          <w:lang w:val="en-ZA" w:eastAsia="en-ZA"/>
        </w:rPr>
        <w:t>Based on the IPCC Guidelines V4_05_Ch5_Cropland, Table 5.4, page 5.10, the citrus fruit plantations falls under the perennial cropland subcategories, and according to the amended National Greenhouse Gas Emission Reporting Regulations the cropland has no threshold and is not required for reporting and for accounting.</w:t>
      </w:r>
      <w:bookmarkStart w:id="628" w:name="_GoBack"/>
      <w:bookmarkEnd w:id="628"/>
    </w:p>
    <w:p w14:paraId="2BE5A5CA" w14:textId="650AAA8F" w:rsidR="00DE7A5E" w:rsidRDefault="00DE7A5E" w:rsidP="550EA6F6">
      <w:pPr>
        <w:spacing w:after="0" w:line="240" w:lineRule="auto"/>
        <w:jc w:val="both"/>
        <w:rPr>
          <w:rFonts w:eastAsia="Calibri" w:cs="Calibri"/>
          <w:lang w:val="en-GB" w:eastAsia="en-ZA"/>
        </w:rPr>
      </w:pPr>
    </w:p>
    <w:p w14:paraId="418457B9" w14:textId="5A3D3C8E" w:rsidR="00DE7A5E" w:rsidRPr="0056761F" w:rsidRDefault="00DE7A5E" w:rsidP="00DE7A5E">
      <w:pPr>
        <w:pStyle w:val="Heading2"/>
        <w:numPr>
          <w:ilvl w:val="1"/>
          <w:numId w:val="18"/>
        </w:numPr>
      </w:pPr>
      <w:bookmarkStart w:id="629" w:name="_Toc109812435"/>
      <w:r w:rsidRPr="0056761F">
        <w:t xml:space="preserve">Do </w:t>
      </w:r>
      <w:r>
        <w:t xml:space="preserve">we report emissions from fires on </w:t>
      </w:r>
      <w:r>
        <w:rPr>
          <w:rFonts w:ascii="Calibri" w:eastAsia="Calibri" w:hAnsi="Calibri" w:cs="Calibri"/>
          <w:lang w:eastAsia="en-ZA"/>
        </w:rPr>
        <w:t>T</w:t>
      </w:r>
      <w:r w:rsidRPr="00DE7A5E">
        <w:rPr>
          <w:rFonts w:ascii="Calibri" w:eastAsia="Calibri" w:hAnsi="Calibri" w:cs="Calibri"/>
          <w:lang w:eastAsia="en-ZA"/>
        </w:rPr>
        <w:t>emporary unplanted areas</w:t>
      </w:r>
      <w:r>
        <w:rPr>
          <w:rFonts w:ascii="Calibri" w:eastAsia="Calibri" w:hAnsi="Calibri" w:cs="Calibri"/>
          <w:lang w:eastAsia="en-ZA"/>
        </w:rPr>
        <w:t>?</w:t>
      </w:r>
      <w:bookmarkEnd w:id="629"/>
    </w:p>
    <w:p w14:paraId="49C09052" w14:textId="77396719" w:rsidR="00DE7A5E" w:rsidRDefault="00DE7A5E" w:rsidP="006C3249">
      <w:pPr>
        <w:spacing w:after="0" w:line="240" w:lineRule="auto"/>
        <w:jc w:val="both"/>
        <w:rPr>
          <w:rFonts w:ascii="Calibri" w:eastAsia="Calibri" w:hAnsi="Calibri" w:cs="Calibri"/>
          <w:lang w:eastAsia="en-ZA"/>
        </w:rPr>
      </w:pPr>
    </w:p>
    <w:p w14:paraId="6870F4D9" w14:textId="1EE21C30" w:rsidR="00DE7A5E" w:rsidRPr="006C3249" w:rsidRDefault="00DE7A5E" w:rsidP="006C3249">
      <w:pPr>
        <w:spacing w:after="0" w:line="240" w:lineRule="auto"/>
        <w:jc w:val="both"/>
        <w:rPr>
          <w:rFonts w:ascii="Calibri" w:eastAsia="Calibri" w:hAnsi="Calibri" w:cs="Calibri"/>
          <w:lang w:eastAsia="en-ZA"/>
        </w:rPr>
      </w:pPr>
      <w:r>
        <w:rPr>
          <w:rFonts w:ascii="Calibri" w:eastAsia="Calibri" w:hAnsi="Calibri" w:cs="Calibri"/>
          <w:lang w:eastAsia="en-ZA"/>
        </w:rPr>
        <w:t>F</w:t>
      </w:r>
      <w:r w:rsidRPr="00DE7A5E">
        <w:rPr>
          <w:rFonts w:ascii="Calibri" w:eastAsia="Calibri" w:hAnsi="Calibri" w:cs="Calibri"/>
          <w:lang w:eastAsia="en-ZA"/>
        </w:rPr>
        <w:t>ires in standing forests and temporary unplanted areas should be reported and accounted for under ΔC.</w:t>
      </w:r>
    </w:p>
    <w:p w14:paraId="5FB6169B" w14:textId="064BDADB" w:rsidR="006C3249" w:rsidRPr="00E255CF" w:rsidRDefault="006C3249" w:rsidP="00DE7A5E">
      <w:pPr>
        <w:pStyle w:val="Heading2"/>
        <w:numPr>
          <w:ilvl w:val="1"/>
          <w:numId w:val="18"/>
        </w:numPr>
        <w:jc w:val="both"/>
        <w:rPr>
          <w:color w:val="C89F5D" w:themeColor="accent5"/>
        </w:rPr>
      </w:pPr>
      <w:bookmarkStart w:id="630" w:name="_Toc95209880"/>
      <w:bookmarkStart w:id="631" w:name="_Toc109812436"/>
      <w:r w:rsidRPr="00E255CF">
        <w:rPr>
          <w:lang w:val="en-ZA"/>
        </w:rPr>
        <w:t>If the company exceeds the threshold, but the wastewater treated is inorganic in nature so does not contain carbon and so would not result in GHG emissions then does the company need to register for this activity or not?</w:t>
      </w:r>
      <w:bookmarkEnd w:id="630"/>
      <w:bookmarkEnd w:id="631"/>
    </w:p>
    <w:p w14:paraId="08DE638E" w14:textId="79761DC5" w:rsidR="00213861" w:rsidRDefault="00AB2951" w:rsidP="006C3249">
      <w:pPr>
        <w:jc w:val="both"/>
      </w:pPr>
      <w:r w:rsidRPr="00AB2951">
        <w:rPr>
          <w:lang w:val="en-ZA"/>
        </w:rPr>
        <w:t>The data provider will have to register as a data provider as mandated by the National Greenhouse Gas (GHG) Emissions Reporting Regulations of 3rd April 2017, as amended, since the registration is based on the threshold</w:t>
      </w:r>
      <w:r w:rsidR="004945F1">
        <w:rPr>
          <w:lang w:val="en-ZA"/>
        </w:rPr>
        <w:t>, i.e. amount of waste treated</w:t>
      </w:r>
      <w:r w:rsidRPr="00AB2951">
        <w:rPr>
          <w:lang w:val="en-ZA"/>
        </w:rPr>
        <w:t>. The data provider will then have to declare that their wastewater treatment process is not aligned with the treatment processes that are covered by the Technical Guidelines, 2006 IPCC Guidelines and the IPCC 2019 Refinements. Supporting evidence would have to be submitted.</w:t>
      </w:r>
    </w:p>
    <w:p w14:paraId="7A496784" w14:textId="1CA515EE" w:rsidR="006C3249" w:rsidRPr="00D778C7" w:rsidRDefault="008C0615" w:rsidP="00DE7A5E">
      <w:pPr>
        <w:pStyle w:val="Heading2"/>
        <w:numPr>
          <w:ilvl w:val="1"/>
          <w:numId w:val="18"/>
        </w:numPr>
        <w:jc w:val="both"/>
        <w:rPr>
          <w:color w:val="C89F5D" w:themeColor="accent5"/>
        </w:rPr>
      </w:pPr>
      <w:bookmarkStart w:id="632" w:name="_Toc95209881"/>
      <w:r>
        <w:t xml:space="preserve"> </w:t>
      </w:r>
      <w:bookmarkStart w:id="633" w:name="_Toc109812437"/>
      <w:r w:rsidR="006C3249" w:rsidRPr="00D778C7">
        <w:t>When reporting on the SAGERS system are emissions from mobile combustion (emissions from vehicles) as well as emissions from purchased electricity still excluded from reporting?</w:t>
      </w:r>
      <w:bookmarkEnd w:id="632"/>
      <w:bookmarkEnd w:id="633"/>
    </w:p>
    <w:p w14:paraId="6DCC128B" w14:textId="32F5D29A" w:rsidR="0069452C" w:rsidRPr="0076407E" w:rsidRDefault="006C3249" w:rsidP="00D454EF">
      <w:pPr>
        <w:jc w:val="both"/>
      </w:pPr>
      <w:r>
        <w:t>Yes, according to the GHG reporting regulations, emissions from mobile combustion (emissions from vehicles) as well as emissions from purchased electricity are excluded from reporting.</w:t>
      </w:r>
    </w:p>
    <w:p w14:paraId="7E3D48BA" w14:textId="6E6E8ADA" w:rsidR="00D42E3F" w:rsidRPr="00604340" w:rsidRDefault="3FDEB6E1" w:rsidP="00DE7A5E">
      <w:pPr>
        <w:pStyle w:val="Heading2"/>
        <w:numPr>
          <w:ilvl w:val="1"/>
          <w:numId w:val="18"/>
        </w:numPr>
      </w:pPr>
      <w:bookmarkStart w:id="634" w:name="_Toc95209882"/>
      <w:bookmarkStart w:id="635" w:name="_Toc109812438"/>
      <w:r w:rsidRPr="00604340">
        <w:t>Can EPA Method 3C be used for sampling of CO</w:t>
      </w:r>
      <w:r w:rsidRPr="00232F96">
        <w:rPr>
          <w:vertAlign w:val="subscript"/>
        </w:rPr>
        <w:t xml:space="preserve">2 </w:t>
      </w:r>
      <w:r w:rsidRPr="00604340">
        <w:t>&amp; CH</w:t>
      </w:r>
      <w:r w:rsidRPr="00232F96">
        <w:rPr>
          <w:vertAlign w:val="subscript"/>
        </w:rPr>
        <w:t>4</w:t>
      </w:r>
      <w:r w:rsidRPr="00604340">
        <w:t xml:space="preserve"> from coal-fired boiler for the purposes of GHG reporting on SAGERS?</w:t>
      </w:r>
      <w:bookmarkEnd w:id="634"/>
      <w:bookmarkEnd w:id="635"/>
    </w:p>
    <w:p w14:paraId="61303D36" w14:textId="2E2D7537" w:rsidR="00D42E3F" w:rsidRPr="006C3249" w:rsidRDefault="3FDEB6E1" w:rsidP="00236E0D">
      <w:pPr>
        <w:jc w:val="both"/>
        <w:rPr>
          <w:rFonts w:eastAsia="Arial Narrow" w:cs="Arial Narrow"/>
          <w:szCs w:val="24"/>
        </w:rPr>
      </w:pPr>
      <w:r w:rsidRPr="0A4EECCE">
        <w:rPr>
          <w:rFonts w:eastAsia="Arial Narrow" w:cs="Arial Narrow"/>
          <w:szCs w:val="24"/>
        </w:rPr>
        <w:t>Yes, provided that the data provider has done an analysis to check what the difference in emissions would be if you use the default IPCC emission factors vs the emissions calculated using the stack monitoring report. The uncertainty range of measurements must also be provided to allow the competent authority to assess the reliability of the method used.</w:t>
      </w:r>
    </w:p>
    <w:p w14:paraId="53FD9B8C" w14:textId="55177CCB" w:rsidR="0069452C" w:rsidRPr="006C3249" w:rsidRDefault="3FDEB6E1" w:rsidP="00236E0D">
      <w:pPr>
        <w:jc w:val="both"/>
        <w:rPr>
          <w:rFonts w:eastAsia="Arial Narrow" w:cs="Arial Narrow"/>
          <w:szCs w:val="24"/>
        </w:rPr>
      </w:pPr>
      <w:r w:rsidRPr="0A4EECCE">
        <w:rPr>
          <w:rFonts w:eastAsia="Arial Narrow" w:cs="Arial Narrow"/>
          <w:szCs w:val="24"/>
        </w:rPr>
        <w:t>Minimum of 4 quarterly reports must be used to estimate the emissions to account for seasonal variability as one stack monitoring report is not sufficient to estimate annual emissions.</w:t>
      </w:r>
    </w:p>
    <w:p w14:paraId="3CB01ED4" w14:textId="0AC049A4" w:rsidR="00D42E3F" w:rsidRPr="006C3249" w:rsidRDefault="00C815A7" w:rsidP="00DE7A5E">
      <w:pPr>
        <w:pStyle w:val="Heading2"/>
        <w:numPr>
          <w:ilvl w:val="1"/>
          <w:numId w:val="18"/>
        </w:numPr>
        <w:rPr>
          <w:rFonts w:eastAsia="Calibri" w:cs="Arial"/>
          <w:szCs w:val="24"/>
        </w:rPr>
      </w:pPr>
      <w:bookmarkStart w:id="636" w:name="_Toc95209883"/>
      <w:r>
        <w:t xml:space="preserve"> </w:t>
      </w:r>
      <w:bookmarkStart w:id="637" w:name="_Toc109812439"/>
      <w:r w:rsidR="3FDEB6E1" w:rsidRPr="0A4EECCE">
        <w:t xml:space="preserve">A foundry produces iron castings, </w:t>
      </w:r>
      <w:proofErr w:type="spellStart"/>
      <w:r w:rsidR="3FDEB6E1" w:rsidRPr="00103A7F">
        <w:t>aluminium</w:t>
      </w:r>
      <w:proofErr w:type="spellEnd"/>
      <w:r w:rsidR="3FDEB6E1" w:rsidRPr="00103A7F">
        <w:t xml:space="preserve">, zinc, brass and bronze. The </w:t>
      </w:r>
      <w:proofErr w:type="spellStart"/>
      <w:r w:rsidR="3FDEB6E1" w:rsidRPr="00103A7F">
        <w:t>aluminium</w:t>
      </w:r>
      <w:proofErr w:type="spellEnd"/>
      <w:r w:rsidR="3FDEB6E1" w:rsidRPr="00103A7F">
        <w:t xml:space="preserve"> gets melted and casted, they do not add anodes to their process.</w:t>
      </w:r>
      <w:bookmarkEnd w:id="636"/>
      <w:bookmarkEnd w:id="637"/>
    </w:p>
    <w:p w14:paraId="55909733" w14:textId="7442311C" w:rsidR="00D42E3F" w:rsidRDefault="3FDEB6E1" w:rsidP="00DE7A5E">
      <w:pPr>
        <w:pStyle w:val="Heading3"/>
        <w:numPr>
          <w:ilvl w:val="2"/>
          <w:numId w:val="18"/>
        </w:numPr>
        <w:rPr>
          <w:rFonts w:eastAsia="Arial Narrow" w:cs="Arial Narrow"/>
          <w:b w:val="0"/>
        </w:rPr>
      </w:pPr>
      <w:bookmarkStart w:id="638" w:name="_Toc95209884"/>
      <w:bookmarkStart w:id="639" w:name="_Toc109812440"/>
      <w:r w:rsidRPr="0A4EECCE">
        <w:rPr>
          <w:rFonts w:eastAsia="Arial Narrow" w:cs="Arial Narrow"/>
          <w:b w:val="0"/>
        </w:rPr>
        <w:t xml:space="preserve">Should the foundry register for 2C3 - </w:t>
      </w:r>
      <w:proofErr w:type="spellStart"/>
      <w:r w:rsidRPr="0A4EECCE">
        <w:rPr>
          <w:rFonts w:eastAsia="Arial Narrow" w:cs="Arial Narrow"/>
          <w:b w:val="0"/>
        </w:rPr>
        <w:t>Aluminium</w:t>
      </w:r>
      <w:proofErr w:type="spellEnd"/>
      <w:r w:rsidRPr="0A4EECCE">
        <w:rPr>
          <w:rFonts w:eastAsia="Arial Narrow" w:cs="Arial Narrow"/>
          <w:b w:val="0"/>
        </w:rPr>
        <w:t xml:space="preserve"> production?</w:t>
      </w:r>
      <w:bookmarkEnd w:id="638"/>
      <w:bookmarkEnd w:id="639"/>
      <w:r w:rsidRPr="0A4EECCE">
        <w:rPr>
          <w:rFonts w:eastAsia="Arial Narrow" w:cs="Arial Narrow"/>
          <w:b w:val="0"/>
        </w:rPr>
        <w:t xml:space="preserve"> </w:t>
      </w:r>
    </w:p>
    <w:p w14:paraId="1EF0232C" w14:textId="7C98DD2E" w:rsidR="00FF24F9" w:rsidRPr="00103A7F" w:rsidRDefault="00FF24F9" w:rsidP="00103A7F">
      <w:r w:rsidRPr="00FF24F9">
        <w:t xml:space="preserve">Emissions are not estimated from secondary production of </w:t>
      </w:r>
      <w:proofErr w:type="spellStart"/>
      <w:r w:rsidRPr="00FF24F9">
        <w:t>aluminium</w:t>
      </w:r>
      <w:proofErr w:type="spellEnd"/>
      <w:r w:rsidRPr="00FF24F9">
        <w:t>. As per the 2006 IPCC Guidelines and the 2019 Refinements, emissions of CO</w:t>
      </w:r>
      <w:r w:rsidRPr="00843622">
        <w:rPr>
          <w:vertAlign w:val="subscript"/>
        </w:rPr>
        <w:t>2</w:t>
      </w:r>
      <w:r w:rsidRPr="00FF24F9">
        <w:t xml:space="preserve"> and PFCs are released from the primary production smelting undertaken during the </w:t>
      </w:r>
      <w:proofErr w:type="spellStart"/>
      <w:r w:rsidRPr="00FF24F9">
        <w:t>Soderberg</w:t>
      </w:r>
      <w:proofErr w:type="spellEnd"/>
      <w:r w:rsidRPr="00FF24F9">
        <w:t xml:space="preserve"> and Prebake processes.</w:t>
      </w:r>
    </w:p>
    <w:p w14:paraId="706CAD3A" w14:textId="4301CCBC" w:rsidR="00D42E3F" w:rsidRDefault="3FDEB6E1" w:rsidP="00DE7A5E">
      <w:pPr>
        <w:pStyle w:val="Heading3"/>
        <w:numPr>
          <w:ilvl w:val="2"/>
          <w:numId w:val="18"/>
        </w:numPr>
        <w:rPr>
          <w:rFonts w:eastAsia="Arial Narrow" w:cs="Arial Narrow"/>
          <w:b w:val="0"/>
        </w:rPr>
      </w:pPr>
      <w:bookmarkStart w:id="640" w:name="_Toc95209885"/>
      <w:bookmarkStart w:id="641" w:name="_Toc109812441"/>
      <w:r w:rsidRPr="0A4EECCE">
        <w:rPr>
          <w:rFonts w:eastAsia="Arial Narrow" w:cs="Arial Narrow"/>
          <w:b w:val="0"/>
        </w:rPr>
        <w:t xml:space="preserve">If 2C3 </w:t>
      </w:r>
      <w:proofErr w:type="spellStart"/>
      <w:r w:rsidRPr="0A4EECCE">
        <w:rPr>
          <w:rFonts w:eastAsia="Arial Narrow" w:cs="Arial Narrow"/>
          <w:b w:val="0"/>
        </w:rPr>
        <w:t>Aluminium</w:t>
      </w:r>
      <w:proofErr w:type="spellEnd"/>
      <w:r w:rsidRPr="0A4EECCE">
        <w:rPr>
          <w:rFonts w:eastAsia="Arial Narrow" w:cs="Arial Narrow"/>
          <w:b w:val="0"/>
        </w:rPr>
        <w:t xml:space="preserve"> production should be excluded, should we still report on the HFO fuel combusted when melting the </w:t>
      </w:r>
      <w:proofErr w:type="spellStart"/>
      <w:r w:rsidRPr="0A4EECCE">
        <w:rPr>
          <w:rFonts w:eastAsia="Arial Narrow" w:cs="Arial Narrow"/>
          <w:b w:val="0"/>
        </w:rPr>
        <w:t>Aluminium</w:t>
      </w:r>
      <w:proofErr w:type="spellEnd"/>
      <w:r w:rsidRPr="0A4EECCE">
        <w:rPr>
          <w:rFonts w:eastAsia="Arial Narrow" w:cs="Arial Narrow"/>
          <w:b w:val="0"/>
        </w:rPr>
        <w:t>?</w:t>
      </w:r>
      <w:bookmarkEnd w:id="640"/>
      <w:bookmarkEnd w:id="641"/>
    </w:p>
    <w:p w14:paraId="38F14205" w14:textId="293FA7D4" w:rsidR="0069452C" w:rsidRPr="00B71320" w:rsidRDefault="00B71320" w:rsidP="00B71320">
      <w:r w:rsidRPr="00B71320">
        <w:t>If the capacity of stationary combustion installations used at the foundry equal or exceed the 10 MW(</w:t>
      </w:r>
      <w:proofErr w:type="spellStart"/>
      <w:r w:rsidRPr="00B71320">
        <w:t>th</w:t>
      </w:r>
      <w:proofErr w:type="spellEnd"/>
      <w:r w:rsidRPr="00B71320">
        <w:t>) threshold as per the GHG Emissions Reporting Regulations, then the data provider will need to register those stationary combustion installations and report on fuel consumption annually.</w:t>
      </w:r>
    </w:p>
    <w:p w14:paraId="5FCED2C4" w14:textId="1926EFAB" w:rsidR="00D42E3F" w:rsidRPr="006C3249" w:rsidRDefault="00B71320" w:rsidP="00DE7A5E">
      <w:pPr>
        <w:pStyle w:val="Heading2"/>
        <w:numPr>
          <w:ilvl w:val="1"/>
          <w:numId w:val="18"/>
        </w:numPr>
        <w:rPr>
          <w:rFonts w:eastAsia="Calibri" w:cs="Arial"/>
          <w:szCs w:val="24"/>
        </w:rPr>
      </w:pPr>
      <w:bookmarkStart w:id="642" w:name="_Toc95209886"/>
      <w:r>
        <w:t xml:space="preserve"> </w:t>
      </w:r>
      <w:bookmarkStart w:id="643" w:name="_Toc109812442"/>
      <w:r w:rsidR="3FDEB6E1" w:rsidRPr="0A4EECCE">
        <w:t>Does a foundry casting steel, iron, etc. using an induction furnace have to register and report GHG e</w:t>
      </w:r>
      <w:r w:rsidR="3FDEB6E1" w:rsidRPr="00236E0D">
        <w:t>missions?</w:t>
      </w:r>
      <w:bookmarkEnd w:id="642"/>
      <w:bookmarkEnd w:id="643"/>
    </w:p>
    <w:p w14:paraId="1751A2C8" w14:textId="7F5EE0E4" w:rsidR="00D42E3F" w:rsidRPr="006C3249" w:rsidRDefault="3FDEB6E1" w:rsidP="0A4EECCE">
      <w:pPr>
        <w:jc w:val="both"/>
        <w:rPr>
          <w:rFonts w:eastAsia="Arial Narrow" w:cs="Arial Narrow"/>
        </w:rPr>
      </w:pPr>
      <w:r w:rsidRPr="3C20B743">
        <w:rPr>
          <w:rFonts w:eastAsia="Arial Narrow" w:cs="Arial Narrow"/>
        </w:rPr>
        <w:t>The IPCC Guidelines are clear that there is currently no guidance on Induction furnaces as studies done so far show no evidence of appreciable emissions from these types of furnaces</w:t>
      </w:r>
      <w:r w:rsidR="005F44AE" w:rsidRPr="3C20B743">
        <w:rPr>
          <w:rFonts w:eastAsia="Arial Narrow" w:cs="Arial Narrow"/>
        </w:rPr>
        <w:t>.</w:t>
      </w:r>
      <w:r w:rsidR="00EB0469">
        <w:rPr>
          <w:rFonts w:eastAsia="Arial Narrow" w:cs="Arial Narrow"/>
        </w:rPr>
        <w:t xml:space="preserve"> </w:t>
      </w:r>
      <w:r w:rsidR="005F44AE" w:rsidRPr="3C20B743">
        <w:rPr>
          <w:rFonts w:eastAsia="Arial Narrow" w:cs="Arial Narrow"/>
        </w:rPr>
        <w:t>I</w:t>
      </w:r>
      <w:r w:rsidRPr="3C20B743">
        <w:rPr>
          <w:rFonts w:eastAsia="Arial Narrow" w:cs="Arial Narrow"/>
        </w:rPr>
        <w:t>ndustries that are operating induction</w:t>
      </w:r>
      <w:r w:rsidR="009A41A2" w:rsidRPr="3C20B743">
        <w:rPr>
          <w:rFonts w:eastAsia="Arial Narrow" w:cs="Arial Narrow"/>
        </w:rPr>
        <w:t xml:space="preserve"> furnaces</w:t>
      </w:r>
      <w:r w:rsidR="00672584">
        <w:rPr>
          <w:rFonts w:eastAsia="Arial Narrow" w:cs="Arial Narrow"/>
        </w:rPr>
        <w:t xml:space="preserve"> must declare this to </w:t>
      </w:r>
      <w:r w:rsidR="4DDDE105" w:rsidRPr="3C20B743">
        <w:rPr>
          <w:rFonts w:eastAsia="Arial Narrow" w:cs="Arial Narrow"/>
        </w:rPr>
        <w:t xml:space="preserve">the Competent Authority </w:t>
      </w:r>
      <w:r w:rsidRPr="3C20B743">
        <w:rPr>
          <w:rFonts w:eastAsia="Arial Narrow" w:cs="Arial Narrow"/>
        </w:rPr>
        <w:t>and this activity will be excluded from registration and reporting.</w:t>
      </w:r>
    </w:p>
    <w:p w14:paraId="4649A353" w14:textId="186FEE12" w:rsidR="00372AEA" w:rsidRDefault="3FDEB6E1" w:rsidP="0A4EECCE">
      <w:pPr>
        <w:jc w:val="both"/>
        <w:rPr>
          <w:rFonts w:eastAsia="Arial Narrow" w:cs="Arial Narrow"/>
          <w:szCs w:val="24"/>
        </w:rPr>
      </w:pPr>
      <w:r w:rsidRPr="0A4EECCE">
        <w:rPr>
          <w:rFonts w:eastAsia="Arial Narrow" w:cs="Arial Narrow"/>
          <w:szCs w:val="24"/>
        </w:rPr>
        <w:t>If the facility is operating induction furnaces but has combustion installations that meet the threshold of 10 MW,</w:t>
      </w:r>
      <w:r w:rsidR="009A41A2">
        <w:rPr>
          <w:rFonts w:eastAsia="Arial Narrow" w:cs="Arial Narrow"/>
          <w:szCs w:val="24"/>
        </w:rPr>
        <w:t xml:space="preserve"> the combustion installations</w:t>
      </w:r>
      <w:r w:rsidRPr="0A4EECCE">
        <w:rPr>
          <w:rFonts w:eastAsia="Arial Narrow" w:cs="Arial Narrow"/>
          <w:szCs w:val="24"/>
        </w:rPr>
        <w:t xml:space="preserve"> must be registered and reported as per requirements on the NGERs.</w:t>
      </w:r>
      <w:r w:rsidR="00E945AA">
        <w:rPr>
          <w:rFonts w:eastAsia="Arial Narrow" w:cs="Arial Narrow"/>
          <w:szCs w:val="24"/>
        </w:rPr>
        <w:t xml:space="preserve"> </w:t>
      </w:r>
    </w:p>
    <w:p w14:paraId="4A3A5E7D" w14:textId="77777777" w:rsidR="00372AEA" w:rsidRPr="00E86D48" w:rsidRDefault="00372AEA" w:rsidP="00103A7F">
      <w:pPr>
        <w:jc w:val="both"/>
        <w:rPr>
          <w:rFonts w:eastAsia="Arial Narrow" w:cs="Arial Narrow"/>
          <w:szCs w:val="24"/>
        </w:rPr>
      </w:pPr>
      <w:r w:rsidRPr="00E86D48">
        <w:rPr>
          <w:rFonts w:eastAsia="Arial Narrow" w:cs="Arial Narrow"/>
          <w:szCs w:val="24"/>
        </w:rPr>
        <w:t>Example: Company A has an induction furnace onsite but also has 2 coal-fired kilns and 3 three diesel fired standby-generators. All 6 combustion installations are used by the data provider.</w:t>
      </w:r>
    </w:p>
    <w:p w14:paraId="50E56382" w14:textId="54674F18" w:rsidR="00372AEA" w:rsidRPr="00E86D48" w:rsidRDefault="00372AEA" w:rsidP="00372AEA">
      <w:pPr>
        <w:jc w:val="both"/>
        <w:rPr>
          <w:rFonts w:eastAsia="Arial Narrow" w:cs="Arial Narrow"/>
          <w:szCs w:val="24"/>
        </w:rPr>
      </w:pPr>
      <w:r w:rsidRPr="00E86D48">
        <w:rPr>
          <w:rFonts w:eastAsia="Arial Narrow" w:cs="Arial Narrow"/>
          <w:szCs w:val="24"/>
        </w:rPr>
        <w:t>The induction furnace does not need to</w:t>
      </w:r>
      <w:r w:rsidR="00867421">
        <w:rPr>
          <w:rFonts w:eastAsia="Arial Narrow" w:cs="Arial Narrow"/>
          <w:szCs w:val="24"/>
        </w:rPr>
        <w:t xml:space="preserve"> be</w:t>
      </w:r>
      <w:r w:rsidRPr="00E86D48">
        <w:rPr>
          <w:rFonts w:eastAsia="Arial Narrow" w:cs="Arial Narrow"/>
          <w:szCs w:val="24"/>
        </w:rPr>
        <w:t xml:space="preserve"> register</w:t>
      </w:r>
      <w:r w:rsidR="00867421">
        <w:rPr>
          <w:rFonts w:eastAsia="Arial Narrow" w:cs="Arial Narrow"/>
          <w:szCs w:val="24"/>
        </w:rPr>
        <w:t>ed</w:t>
      </w:r>
      <w:r w:rsidRPr="00E86D48">
        <w:rPr>
          <w:rFonts w:eastAsia="Arial Narrow" w:cs="Arial Narrow"/>
          <w:szCs w:val="24"/>
        </w:rPr>
        <w:t xml:space="preserve"> and GHG emissions</w:t>
      </w:r>
      <w:r w:rsidR="00867421">
        <w:rPr>
          <w:rFonts w:eastAsia="Arial Narrow" w:cs="Arial Narrow"/>
          <w:szCs w:val="24"/>
        </w:rPr>
        <w:t>, from the induction furnace,</w:t>
      </w:r>
      <w:r w:rsidRPr="00E86D48">
        <w:rPr>
          <w:rFonts w:eastAsia="Arial Narrow" w:cs="Arial Narrow"/>
          <w:szCs w:val="24"/>
        </w:rPr>
        <w:t xml:space="preserve"> do not need to be reported as it has been established that the induction furnace is powered by electricity.</w:t>
      </w:r>
    </w:p>
    <w:p w14:paraId="213B4A9B" w14:textId="73524553" w:rsidR="007D2309" w:rsidRPr="007D2309" w:rsidRDefault="26E10F3A" w:rsidP="550EA6F6">
      <w:pPr>
        <w:jc w:val="both"/>
        <w:rPr>
          <w:rFonts w:eastAsia="Arial Narrow" w:cs="Arial Narrow"/>
        </w:rPr>
      </w:pPr>
      <w:r w:rsidRPr="550EA6F6">
        <w:rPr>
          <w:rFonts w:eastAsia="Arial Narrow" w:cs="Arial Narrow"/>
        </w:rPr>
        <w:t>However, the additional 5 combustion installations (kilns and standby-generators) run on different fuels. The data provider will then need to calculate the MW(</w:t>
      </w:r>
      <w:proofErr w:type="spellStart"/>
      <w:r w:rsidRPr="550EA6F6">
        <w:rPr>
          <w:rFonts w:eastAsia="Arial Narrow" w:cs="Arial Narrow"/>
        </w:rPr>
        <w:t>th</w:t>
      </w:r>
      <w:proofErr w:type="spellEnd"/>
      <w:r w:rsidRPr="550EA6F6">
        <w:rPr>
          <w:rFonts w:eastAsia="Arial Narrow" w:cs="Arial Narrow"/>
        </w:rPr>
        <w:t>) of the 5 installations, and should they be equal to or greater than 10 MW(</w:t>
      </w:r>
      <w:proofErr w:type="spellStart"/>
      <w:r w:rsidRPr="550EA6F6">
        <w:rPr>
          <w:rFonts w:eastAsia="Arial Narrow" w:cs="Arial Narrow"/>
        </w:rPr>
        <w:t>th</w:t>
      </w:r>
      <w:proofErr w:type="spellEnd"/>
      <w:r w:rsidRPr="550EA6F6">
        <w:rPr>
          <w:rFonts w:eastAsia="Arial Narrow" w:cs="Arial Narrow"/>
        </w:rPr>
        <w:t>) (take note of IPCC Category threshold), will need to register and report GHG emissions for these installations annually.</w:t>
      </w:r>
      <w:r w:rsidR="23536460" w:rsidRPr="007D2309">
        <w:rPr>
          <w:rFonts w:cs="Segoe UI"/>
          <w:color w:val="D13438"/>
          <w:shd w:val="clear" w:color="auto" w:fill="FFFFFF"/>
        </w:rPr>
        <w:t xml:space="preserve"> </w:t>
      </w:r>
    </w:p>
    <w:p w14:paraId="61C179CA" w14:textId="602F97C4" w:rsidR="00372AEA" w:rsidRDefault="23536460" w:rsidP="0A4EECCE">
      <w:pPr>
        <w:jc w:val="both"/>
        <w:rPr>
          <w:rFonts w:eastAsia="Arial Narrow" w:cs="Arial Narrow"/>
        </w:rPr>
      </w:pPr>
      <w:r w:rsidRPr="550EA6F6">
        <w:rPr>
          <w:rFonts w:eastAsia="Arial Narrow" w:cs="Arial Narrow"/>
        </w:rPr>
        <w:t>Please refer to question 3.4 above for capacity estimation techniques. Also refer to question 3.3 to explanation on how capacity should be estimated per data provider. </w:t>
      </w:r>
    </w:p>
    <w:p w14:paraId="1672D0FB" w14:textId="170F618F" w:rsidR="000863DA" w:rsidRPr="000863DA" w:rsidRDefault="000863DA" w:rsidP="000863DA">
      <w:pPr>
        <w:pStyle w:val="Heading2"/>
        <w:numPr>
          <w:ilvl w:val="1"/>
          <w:numId w:val="18"/>
        </w:numPr>
        <w:rPr>
          <w:lang w:val="en-ZA"/>
        </w:rPr>
      </w:pPr>
      <w:r>
        <w:t xml:space="preserve"> </w:t>
      </w:r>
      <w:bookmarkStart w:id="644" w:name="_Toc109812443"/>
      <w:r w:rsidRPr="000863DA">
        <w:t>Treatment of emissions from secondary steel production when electric arc furnaces are used.</w:t>
      </w:r>
      <w:bookmarkEnd w:id="644"/>
      <w:r w:rsidRPr="000863DA">
        <w:rPr>
          <w:lang w:val="en-ZA"/>
        </w:rPr>
        <w:t> </w:t>
      </w:r>
    </w:p>
    <w:p w14:paraId="4C7D650F" w14:textId="277FA201" w:rsidR="000863DA" w:rsidRPr="000863DA" w:rsidRDefault="000863DA" w:rsidP="000863DA">
      <w:pPr>
        <w:jc w:val="both"/>
        <w:rPr>
          <w:rFonts w:eastAsia="Arial Narrow" w:cs="Arial Narrow"/>
          <w:szCs w:val="24"/>
          <w:lang w:val="en-ZA"/>
        </w:rPr>
      </w:pPr>
      <w:r w:rsidRPr="000863DA">
        <w:rPr>
          <w:rFonts w:eastAsia="Arial Narrow" w:cs="Arial Narrow"/>
          <w:szCs w:val="24"/>
        </w:rPr>
        <w:t>Steel production can occur at integrated facilities from iron ore, or at secondary facilities, which produce steel mainly from recycled steel scrap. Secondary steelmaking most often occurs in electric arc furnaces (EAFs). Since the EAF process is mainly one of melting scrap and not reducing oxides, CO</w:t>
      </w:r>
      <w:r w:rsidRPr="000863DA">
        <w:rPr>
          <w:rFonts w:eastAsia="Arial Narrow" w:cs="Arial Narrow"/>
          <w:szCs w:val="24"/>
          <w:vertAlign w:val="subscript"/>
        </w:rPr>
        <w:t>2</w:t>
      </w:r>
      <w:r w:rsidRPr="000863DA">
        <w:rPr>
          <w:rFonts w:eastAsia="Arial Narrow" w:cs="Arial Narrow"/>
          <w:szCs w:val="24"/>
        </w:rPr>
        <w:t xml:space="preserve"> emissions are associated with the consumption of the carbon electrodes. All carbon used in EAFs should be considered process-related IPPU emissions under IPCC activity 2C1 Iron and Steel Production. </w:t>
      </w:r>
      <w:r w:rsidRPr="000863DA">
        <w:rPr>
          <w:rFonts w:eastAsia="Arial Narrow" w:cs="Arial Narrow"/>
          <w:szCs w:val="24"/>
          <w:lang w:val="en-ZA"/>
        </w:rPr>
        <w:t> </w:t>
      </w:r>
    </w:p>
    <w:p w14:paraId="019ABC48" w14:textId="77777777" w:rsidR="000863DA" w:rsidRPr="000863DA" w:rsidRDefault="000863DA" w:rsidP="000863DA">
      <w:pPr>
        <w:jc w:val="both"/>
        <w:rPr>
          <w:rFonts w:eastAsia="Arial Narrow" w:cs="Arial Narrow"/>
          <w:szCs w:val="24"/>
          <w:lang w:val="en-ZA"/>
        </w:rPr>
      </w:pPr>
      <w:r w:rsidRPr="000863DA">
        <w:rPr>
          <w:rFonts w:eastAsia="Arial Narrow" w:cs="Arial Narrow"/>
          <w:b/>
          <w:bCs/>
          <w:szCs w:val="24"/>
        </w:rPr>
        <w:t>Note: The EAF emission factor within the 2006 IPCC Guidelines relates to scrap metal being the raw material used and not pig-iron.</w:t>
      </w:r>
      <w:r w:rsidRPr="000863DA">
        <w:rPr>
          <w:rFonts w:eastAsia="Arial Narrow" w:cs="Arial Narrow"/>
          <w:szCs w:val="24"/>
          <w:lang w:val="en-ZA"/>
        </w:rPr>
        <w:t> </w:t>
      </w:r>
    </w:p>
    <w:p w14:paraId="2835C2BE" w14:textId="77777777" w:rsidR="000863DA" w:rsidRPr="000863DA" w:rsidRDefault="000863DA" w:rsidP="000863DA">
      <w:pPr>
        <w:jc w:val="both"/>
        <w:rPr>
          <w:rFonts w:eastAsia="Arial Narrow" w:cs="Arial Narrow"/>
          <w:szCs w:val="24"/>
          <w:lang w:val="en-ZA"/>
        </w:rPr>
      </w:pPr>
      <w:r w:rsidRPr="000863DA">
        <w:rPr>
          <w:rFonts w:eastAsia="Arial Narrow" w:cs="Arial Narrow"/>
          <w:szCs w:val="24"/>
          <w:lang w:val="en-ZA"/>
        </w:rPr>
        <w:t> </w:t>
      </w:r>
    </w:p>
    <w:p w14:paraId="79C3BEFF" w14:textId="77777777" w:rsidR="000863DA" w:rsidRDefault="000863DA" w:rsidP="0A4EECCE">
      <w:pPr>
        <w:jc w:val="both"/>
        <w:rPr>
          <w:rFonts w:eastAsia="Arial Narrow" w:cs="Arial Narrow"/>
          <w:szCs w:val="24"/>
        </w:rPr>
      </w:pPr>
    </w:p>
    <w:p w14:paraId="7B5FC385" w14:textId="37B4C80A" w:rsidR="00D42E3F" w:rsidRPr="006C3249" w:rsidRDefault="007D2309" w:rsidP="000863DA">
      <w:pPr>
        <w:pStyle w:val="Heading2"/>
        <w:numPr>
          <w:ilvl w:val="1"/>
          <w:numId w:val="18"/>
        </w:numPr>
      </w:pPr>
      <w:bookmarkStart w:id="645" w:name="_Toc95209887"/>
      <w:r>
        <w:t xml:space="preserve"> </w:t>
      </w:r>
      <w:bookmarkStart w:id="646" w:name="_Toc109812444"/>
      <w:r w:rsidR="3FDEB6E1" w:rsidRPr="0A4EECCE">
        <w:t>I am using non- carbonaceous clay with an insignificant carbon content to manufacture bricks do I need to report process emissions?</w:t>
      </w:r>
      <w:bookmarkEnd w:id="645"/>
      <w:bookmarkEnd w:id="646"/>
    </w:p>
    <w:p w14:paraId="74CCEE04" w14:textId="18B99A16" w:rsidR="00D42E3F" w:rsidRPr="00EE5443" w:rsidRDefault="3FDEB6E1" w:rsidP="0A4EECCE">
      <w:pPr>
        <w:jc w:val="both"/>
        <w:rPr>
          <w:rFonts w:eastAsia="Arial Narrow" w:cs="Arial Narrow"/>
          <w:szCs w:val="24"/>
        </w:rPr>
      </w:pPr>
      <w:r w:rsidRPr="00EE5443">
        <w:rPr>
          <w:rFonts w:eastAsia="Arial Narrow" w:cs="Arial Narrow"/>
          <w:szCs w:val="24"/>
        </w:rPr>
        <w:t xml:space="preserve">As per the amended GHG emissions reporting regulations, should the data provider meet the threshold, the data provider will have to register and report GHG emissions via the SAGERS Portal under both IPCC categories 1A2m Brick Manufacturing and 2A4a Ceramics. </w:t>
      </w:r>
    </w:p>
    <w:p w14:paraId="7557E680" w14:textId="7E27E17B" w:rsidR="00D42E3F" w:rsidRDefault="42A9C601" w:rsidP="550EA6F6">
      <w:pPr>
        <w:jc w:val="both"/>
        <w:rPr>
          <w:rFonts w:eastAsia="Arial Narrow" w:cs="Arial Narrow"/>
        </w:rPr>
      </w:pPr>
      <w:r w:rsidRPr="550EA6F6">
        <w:rPr>
          <w:rFonts w:eastAsia="Arial Narrow" w:cs="Arial Narrow"/>
        </w:rPr>
        <w:t>Should the data provider use non-carbonaceous clay, lab analysis reports from a SANAS accredited laboratory will need to be attached when reporting under 2A4a and zero emissions are reported. The lab analysis needs to clearly indicate the elements found within the clay.</w:t>
      </w:r>
    </w:p>
    <w:p w14:paraId="5B021D20" w14:textId="1E052602" w:rsidR="0085287E" w:rsidRPr="007121DE" w:rsidRDefault="0085287E" w:rsidP="000863DA">
      <w:pPr>
        <w:pStyle w:val="ListParagraph"/>
        <w:numPr>
          <w:ilvl w:val="1"/>
          <w:numId w:val="18"/>
        </w:numPr>
        <w:rPr>
          <w:rFonts w:eastAsiaTheme="majorEastAsia" w:cstheme="majorBidi"/>
          <w:b/>
          <w:bCs/>
          <w:color w:val="C98711"/>
          <w:sz w:val="26"/>
          <w:szCs w:val="26"/>
        </w:rPr>
      </w:pPr>
      <w:r>
        <w:rPr>
          <w:rFonts w:eastAsiaTheme="majorEastAsia" w:cstheme="majorBidi"/>
          <w:b/>
          <w:bCs/>
          <w:color w:val="C98711"/>
          <w:sz w:val="26"/>
          <w:szCs w:val="26"/>
        </w:rPr>
        <w:t>R</w:t>
      </w:r>
      <w:r w:rsidRPr="0085287E">
        <w:rPr>
          <w:rFonts w:eastAsiaTheme="majorEastAsia" w:cstheme="majorBidi"/>
          <w:b/>
          <w:bCs/>
          <w:color w:val="C98711"/>
          <w:sz w:val="26"/>
          <w:szCs w:val="26"/>
        </w:rPr>
        <w:t>eporting for carbon capture and storage</w:t>
      </w:r>
      <w:r>
        <w:rPr>
          <w:rFonts w:eastAsiaTheme="majorEastAsia" w:cstheme="majorBidi"/>
          <w:b/>
          <w:bCs/>
          <w:color w:val="C98711"/>
          <w:sz w:val="26"/>
          <w:szCs w:val="26"/>
        </w:rPr>
        <w:t xml:space="preserve"> in the GHG Reporting </w:t>
      </w:r>
      <w:proofErr w:type="spellStart"/>
      <w:r>
        <w:rPr>
          <w:rFonts w:eastAsiaTheme="majorEastAsia" w:cstheme="majorBidi"/>
          <w:b/>
          <w:bCs/>
          <w:color w:val="C98711"/>
          <w:sz w:val="26"/>
          <w:szCs w:val="26"/>
        </w:rPr>
        <w:t>Programme</w:t>
      </w:r>
      <w:proofErr w:type="spellEnd"/>
    </w:p>
    <w:p w14:paraId="211950A9" w14:textId="1A042EEE" w:rsidR="00127E90" w:rsidRPr="00103A7F" w:rsidRDefault="008D6FAB" w:rsidP="00103A7F">
      <w:pPr>
        <w:jc w:val="both"/>
      </w:pPr>
      <w:r w:rsidRPr="00103A7F">
        <w:rPr>
          <w:lang w:val="en-ZA"/>
        </w:rPr>
        <w:t>Carbon dioxide (CO</w:t>
      </w:r>
      <w:r w:rsidRPr="00103A7F">
        <w:rPr>
          <w:vertAlign w:val="subscript"/>
          <w:lang w:val="en-ZA"/>
        </w:rPr>
        <w:t>2</w:t>
      </w:r>
      <w:r w:rsidRPr="00103A7F">
        <w:rPr>
          <w:lang w:val="en-ZA"/>
        </w:rPr>
        <w:t>) capture and storage (CCS) involves the capture of CO</w:t>
      </w:r>
      <w:r w:rsidRPr="00103A7F">
        <w:rPr>
          <w:vertAlign w:val="subscript"/>
          <w:lang w:val="en-ZA"/>
        </w:rPr>
        <w:t>2</w:t>
      </w:r>
      <w:r w:rsidRPr="00103A7F">
        <w:rPr>
          <w:lang w:val="en-ZA"/>
        </w:rPr>
        <w:t xml:space="preserve"> from anthropogenic sources, its transport to a storage location and its long-term isolation from the atmosphere. </w:t>
      </w:r>
      <w:r w:rsidR="00127E90" w:rsidRPr="00103A7F">
        <w:t xml:space="preserve">SAGERS </w:t>
      </w:r>
      <w:r w:rsidR="0043152F" w:rsidRPr="00103A7F">
        <w:t>syst</w:t>
      </w:r>
      <w:r w:rsidR="004A0ED5" w:rsidRPr="00103A7F">
        <w:t>em is designed in a way that</w:t>
      </w:r>
      <w:r w:rsidR="0043152F" w:rsidRPr="00103A7F">
        <w:t xml:space="preserve"> data providers are able to report the amount of carbon captured</w:t>
      </w:r>
      <w:r w:rsidR="004A0ED5" w:rsidRPr="00103A7F">
        <w:t xml:space="preserve">. </w:t>
      </w:r>
      <w:r w:rsidR="1A745125">
        <w:t>A</w:t>
      </w:r>
      <w:r w:rsidR="183A399E">
        <w:t>t facility level, on the emissions details form</w:t>
      </w:r>
      <w:r w:rsidR="0043152F" w:rsidRPr="00103A7F">
        <w:t xml:space="preserve"> </w:t>
      </w:r>
      <w:r w:rsidR="00127E90" w:rsidRPr="00103A7F">
        <w:t xml:space="preserve">there is a field </w:t>
      </w:r>
      <w:r w:rsidR="0043152F" w:rsidRPr="00103A7F">
        <w:t xml:space="preserve">on SAGERS </w:t>
      </w:r>
      <w:r w:rsidR="00127E90" w:rsidRPr="00103A7F">
        <w:t xml:space="preserve">where data providers can input the </w:t>
      </w:r>
      <w:r w:rsidR="00127E90" w:rsidRPr="00103A7F">
        <w:rPr>
          <w:lang w:val="en-ZA"/>
        </w:rPr>
        <w:t>carbon captured</w:t>
      </w:r>
      <w:r w:rsidR="004A0ED5" w:rsidRPr="00103A7F">
        <w:rPr>
          <w:lang w:val="en-ZA"/>
        </w:rPr>
        <w:t xml:space="preserve"> for each IPCC code registered</w:t>
      </w:r>
      <w:r w:rsidR="00127E90" w:rsidRPr="00103A7F">
        <w:rPr>
          <w:lang w:val="en-ZA"/>
        </w:rPr>
        <w:t>. The amount of carbon captured need</w:t>
      </w:r>
      <w:r w:rsidR="00375935">
        <w:rPr>
          <w:lang w:val="en-ZA"/>
        </w:rPr>
        <w:t>s</w:t>
      </w:r>
      <w:r w:rsidR="00127E90" w:rsidRPr="00103A7F">
        <w:rPr>
          <w:lang w:val="en-ZA"/>
        </w:rPr>
        <w:t xml:space="preserve"> to be reported under the category in which it was generated.</w:t>
      </w:r>
    </w:p>
    <w:p w14:paraId="6B5FF511" w14:textId="492B903B" w:rsidR="0069452C" w:rsidRPr="0076407E" w:rsidRDefault="616AF142" w:rsidP="00103A7F">
      <w:pPr>
        <w:jc w:val="both"/>
        <w:rPr>
          <w:lang w:val="en-ZA"/>
        </w:rPr>
      </w:pPr>
      <w:r w:rsidRPr="550EA6F6">
        <w:rPr>
          <w:lang w:val="en-ZA"/>
        </w:rPr>
        <w:t>For example, if the carbon was captured from 1A1c, the data provider must report emissions generated from 1A1c and also report the amount of carbon captured from 1A1c.</w:t>
      </w:r>
    </w:p>
    <w:p w14:paraId="11974BE2" w14:textId="68847B32" w:rsidR="004032D9" w:rsidRPr="006C3249" w:rsidRDefault="004032D9" w:rsidP="000863DA">
      <w:pPr>
        <w:pStyle w:val="Heading2"/>
        <w:numPr>
          <w:ilvl w:val="1"/>
          <w:numId w:val="18"/>
        </w:numPr>
        <w:rPr>
          <w:rFonts w:eastAsia="Calibri" w:cs="Arial"/>
        </w:rPr>
      </w:pPr>
      <w:bookmarkStart w:id="647" w:name="_Toc109812445"/>
      <w:r>
        <w:t>Recycled oil is used in our production process, what calorific value and emission factors should be used when reporting on this fuel?</w:t>
      </w:r>
      <w:bookmarkEnd w:id="647"/>
    </w:p>
    <w:p w14:paraId="7C5A83C7" w14:textId="2F7A5F5E" w:rsidR="004032D9" w:rsidRPr="00C56F69" w:rsidRDefault="77027C8B" w:rsidP="550EA6F6">
      <w:pPr>
        <w:jc w:val="both"/>
        <w:rPr>
          <w:rFonts w:eastAsia="Arial Narrow" w:cs="Arial Narrow"/>
        </w:rPr>
      </w:pPr>
      <w:r w:rsidRPr="550EA6F6">
        <w:rPr>
          <w:rFonts w:eastAsia="Arial Narrow" w:cs="Arial Narrow"/>
        </w:rPr>
        <w:t xml:space="preserve">The data provider should use the calorific value (and density if required) that is provided by the supplier of the recycled oil. The data provider should also seek guidance from the supplier regarding the composition of the recycled oil as well as a proxy fuel (found on the SAGERS fuel list) that can be used that is the closest approximation to the recycled oil (in terms of physical and chemical properties). This proxy fuel’s emission factors can then be used to estimate emissions from the use of the recycled oil. </w:t>
      </w:r>
    </w:p>
    <w:p w14:paraId="3838F5EC" w14:textId="58EB55B4" w:rsidR="00A64E92" w:rsidRPr="006C3249" w:rsidRDefault="0029058E" w:rsidP="0A4EECCE">
      <w:pPr>
        <w:jc w:val="both"/>
        <w:rPr>
          <w:rFonts w:eastAsia="Arial Narrow" w:cs="Arial Narrow"/>
          <w:szCs w:val="24"/>
        </w:rPr>
      </w:pPr>
      <w:r w:rsidRPr="42BAF644">
        <w:rPr>
          <w:rFonts w:eastAsia="Arial Narrow" w:cs="Arial Narrow"/>
        </w:rPr>
        <w:t>Supporting evidence of how the proxy fuel was arrived at must be submitted with each report. Examples of supporting evidence include, but are not limited to, a lab analysis</w:t>
      </w:r>
      <w:r w:rsidR="5D1DB45F" w:rsidRPr="42BAF644">
        <w:rPr>
          <w:rFonts w:eastAsia="Arial Narrow" w:cs="Arial Narrow"/>
        </w:rPr>
        <w:t xml:space="preserve">, from a SANAS accredited laboratory, </w:t>
      </w:r>
      <w:r w:rsidRPr="42BAF644">
        <w:rPr>
          <w:rFonts w:eastAsia="Arial Narrow" w:cs="Arial Narrow"/>
        </w:rPr>
        <w:t>that shows that the properties of the recycled oil are close/similar to that of the proxy fuel or any theoretical analysis done to conclude that the recycled oil resembles the proxy fuel</w:t>
      </w:r>
      <w:r w:rsidR="7AE793F0" w:rsidRPr="42BAF644">
        <w:rPr>
          <w:rFonts w:eastAsia="Arial Narrow" w:cs="Arial Narrow"/>
        </w:rPr>
        <w:t xml:space="preserve"> chosen</w:t>
      </w:r>
    </w:p>
    <w:p w14:paraId="584F7EEE" w14:textId="39B6C947" w:rsidR="42BAF644" w:rsidRPr="00F17E6E" w:rsidRDefault="42BAF644" w:rsidP="000863DA">
      <w:pPr>
        <w:pStyle w:val="Heading2"/>
        <w:numPr>
          <w:ilvl w:val="1"/>
          <w:numId w:val="18"/>
        </w:numPr>
        <w:jc w:val="both"/>
        <w:rPr>
          <w:lang w:val="en-ZA"/>
        </w:rPr>
      </w:pPr>
      <w:bookmarkStart w:id="648" w:name="_Toc109812446"/>
      <w:r>
        <w:t xml:space="preserve">We </w:t>
      </w:r>
      <w:r w:rsidR="00912553" w:rsidRPr="00912553">
        <w:rPr>
          <w:lang w:val="en-ZA"/>
        </w:rPr>
        <w:t>I received analyses for my coal from a laboratory. Which value should I use for the NCV: “As Received”, “Air Dried” or “Dried”?</w:t>
      </w:r>
      <w:bookmarkEnd w:id="648"/>
    </w:p>
    <w:p w14:paraId="08E3D79D" w14:textId="41AFA5EF" w:rsidR="42BAF644" w:rsidRDefault="00912553" w:rsidP="00F17E6E">
      <w:r w:rsidRPr="00F17E6E">
        <w:rPr>
          <w:rFonts w:eastAsia="Calibri" w:cs="Arial"/>
          <w:szCs w:val="24"/>
        </w:rPr>
        <w:t>The NCV is the energy that is left in the raw material once all water has been removed and which is actually available for any process. Hence the value for “Dried” should be used.</w:t>
      </w:r>
      <w:r w:rsidRPr="00F17E6E" w:rsidDel="00912553">
        <w:rPr>
          <w:rFonts w:eastAsia="Calibri" w:cs="Arial"/>
          <w:szCs w:val="24"/>
        </w:rPr>
        <w:t xml:space="preserve"> </w:t>
      </w:r>
    </w:p>
    <w:p w14:paraId="37D406D1" w14:textId="38F436DF" w:rsidR="00A96338" w:rsidRDefault="42BAF644" w:rsidP="000863DA">
      <w:pPr>
        <w:pStyle w:val="Heading2"/>
        <w:numPr>
          <w:ilvl w:val="1"/>
          <w:numId w:val="18"/>
        </w:numPr>
        <w:jc w:val="both"/>
        <w:rPr>
          <w:lang w:val="en-ZA"/>
        </w:rPr>
      </w:pPr>
      <w:bookmarkStart w:id="649" w:name="_Toc109812447"/>
      <w:r>
        <w:t xml:space="preserve">Which </w:t>
      </w:r>
      <w:r w:rsidR="00A96338" w:rsidRPr="00A96338">
        <w:rPr>
          <w:lang w:val="en-ZA"/>
        </w:rPr>
        <w:t>value must be used for NCV: higher heating value (or Gross Calorific Value - GCV) or lower heating value (or Net Calorific Value - NCV)?</w:t>
      </w:r>
      <w:bookmarkEnd w:id="649"/>
    </w:p>
    <w:p w14:paraId="0BE9EDB8" w14:textId="66E2A200" w:rsidR="00A96338" w:rsidRPr="00F17E6E" w:rsidRDefault="00A96338" w:rsidP="00F17E6E">
      <w:pPr>
        <w:rPr>
          <w:lang w:val="en-ZA"/>
        </w:rPr>
      </w:pPr>
      <w:r w:rsidRPr="00A96338">
        <w:rPr>
          <w:lang w:val="en-ZA"/>
        </w:rPr>
        <w:t xml:space="preserve">The higher heating value includes the energy required to </w:t>
      </w:r>
      <w:proofErr w:type="spellStart"/>
      <w:r w:rsidRPr="00A96338">
        <w:rPr>
          <w:lang w:val="en-ZA"/>
        </w:rPr>
        <w:t>vapourise</w:t>
      </w:r>
      <w:proofErr w:type="spellEnd"/>
      <w:r w:rsidRPr="00A96338">
        <w:rPr>
          <w:lang w:val="en-ZA"/>
        </w:rPr>
        <w:t xml:space="preserve"> water that is also in the raw material. The lower heating value is the energy that is left in the raw material once all water has been removed and which is actually available for any process. Hence the Lower Heating Value (NCV), must be used.</w:t>
      </w:r>
    </w:p>
    <w:p w14:paraId="3977A058" w14:textId="5F3BB8C4" w:rsidR="42BAF644" w:rsidRDefault="42BAF644" w:rsidP="42BAF644">
      <w:pPr>
        <w:rPr>
          <w:rFonts w:eastAsia="Calibri" w:cs="Arial"/>
          <w:szCs w:val="24"/>
        </w:rPr>
      </w:pPr>
    </w:p>
    <w:p w14:paraId="5E1C8D83" w14:textId="643B4DA0" w:rsidR="00D42E3F" w:rsidRPr="006C3249" w:rsidRDefault="3B588F4B" w:rsidP="000863DA">
      <w:pPr>
        <w:pStyle w:val="Heading2"/>
        <w:numPr>
          <w:ilvl w:val="1"/>
          <w:numId w:val="18"/>
        </w:numPr>
        <w:jc w:val="both"/>
      </w:pPr>
      <w:bookmarkStart w:id="650" w:name="_Toc95209890"/>
      <w:bookmarkStart w:id="651" w:name="_Toc109812448"/>
      <w:r>
        <w:t xml:space="preserve">A client of ours burns waste </w:t>
      </w:r>
      <w:proofErr w:type="spellStart"/>
      <w:r>
        <w:t>tyres</w:t>
      </w:r>
      <w:proofErr w:type="spellEnd"/>
      <w:r>
        <w:t xml:space="preserve"> as part of the production process. From the National Treasury Budget 2021, we gather that this is exempt from carbon tax for this year as there are no emission factor</w:t>
      </w:r>
      <w:r w:rsidR="1A2A0BCD">
        <w:t>s</w:t>
      </w:r>
      <w:r>
        <w:t xml:space="preserve"> available (see attached on page 151).</w:t>
      </w:r>
      <w:bookmarkEnd w:id="650"/>
      <w:bookmarkEnd w:id="651"/>
    </w:p>
    <w:p w14:paraId="500FDA3B" w14:textId="6E9B12E9" w:rsidR="00D42E3F" w:rsidRPr="00AD23C1" w:rsidRDefault="3FDEB6E1" w:rsidP="0A4EECCE">
      <w:pPr>
        <w:spacing w:line="257" w:lineRule="auto"/>
        <w:jc w:val="both"/>
        <w:rPr>
          <w:rFonts w:eastAsiaTheme="majorEastAsia" w:cstheme="majorBidi"/>
          <w:b/>
          <w:bCs/>
          <w:color w:val="C98711"/>
          <w:sz w:val="26"/>
          <w:szCs w:val="26"/>
        </w:rPr>
      </w:pPr>
      <w:r w:rsidRPr="00AD23C1">
        <w:rPr>
          <w:rFonts w:eastAsiaTheme="majorEastAsia" w:cstheme="majorBidi"/>
          <w:b/>
          <w:bCs/>
          <w:color w:val="C98711"/>
          <w:sz w:val="26"/>
          <w:szCs w:val="26"/>
        </w:rPr>
        <w:t>Could you please clarify your position on this in relation to the NGER? In other words, does it need to be reported on?</w:t>
      </w:r>
    </w:p>
    <w:p w14:paraId="7CE541B4" w14:textId="09E50AA0" w:rsidR="00A554D4" w:rsidRPr="00103A7F" w:rsidRDefault="00736DE0" w:rsidP="0A4EECCE">
      <w:pPr>
        <w:spacing w:line="257" w:lineRule="auto"/>
        <w:jc w:val="both"/>
        <w:rPr>
          <w:rFonts w:eastAsia="Calibri" w:cs="Arial"/>
          <w:szCs w:val="24"/>
        </w:rPr>
      </w:pPr>
      <w:r w:rsidRPr="00103A7F">
        <w:rPr>
          <w:rFonts w:eastAsia="Calibri" w:cs="Arial"/>
          <w:szCs w:val="24"/>
        </w:rPr>
        <w:t>The</w:t>
      </w:r>
      <w:r w:rsidR="00B66790" w:rsidRPr="00103A7F">
        <w:rPr>
          <w:rFonts w:eastAsia="Calibri" w:cs="Arial"/>
          <w:szCs w:val="24"/>
        </w:rPr>
        <w:t xml:space="preserve"> GHG</w:t>
      </w:r>
      <w:r w:rsidRPr="00103A7F">
        <w:rPr>
          <w:rFonts w:eastAsia="Calibri" w:cs="Arial"/>
          <w:szCs w:val="24"/>
        </w:rPr>
        <w:t xml:space="preserve"> emissions </w:t>
      </w:r>
      <w:r w:rsidR="00C40400" w:rsidRPr="00103A7F">
        <w:rPr>
          <w:rFonts w:eastAsia="Calibri" w:cs="Arial"/>
          <w:szCs w:val="24"/>
        </w:rPr>
        <w:t xml:space="preserve">from waste </w:t>
      </w:r>
      <w:proofErr w:type="spellStart"/>
      <w:r w:rsidR="00C40400" w:rsidRPr="00103A7F">
        <w:rPr>
          <w:rFonts w:eastAsia="Calibri" w:cs="Arial"/>
          <w:szCs w:val="24"/>
        </w:rPr>
        <w:t>tyre</w:t>
      </w:r>
      <w:proofErr w:type="spellEnd"/>
      <w:r w:rsidR="00C40400" w:rsidRPr="00103A7F">
        <w:rPr>
          <w:rFonts w:eastAsia="Calibri" w:cs="Arial"/>
          <w:szCs w:val="24"/>
        </w:rPr>
        <w:t xml:space="preserve"> combustion should still be reported on SAGERS.</w:t>
      </w:r>
      <w:r w:rsidR="009D0D7E" w:rsidRPr="00103A7F">
        <w:rPr>
          <w:rFonts w:eastAsia="Calibri" w:cs="Arial"/>
          <w:szCs w:val="24"/>
        </w:rPr>
        <w:t xml:space="preserve"> SAGERS currently has Tier 1 emission factors for </w:t>
      </w:r>
      <w:proofErr w:type="spellStart"/>
      <w:r w:rsidR="009D0D7E" w:rsidRPr="00103A7F">
        <w:rPr>
          <w:rFonts w:eastAsia="Calibri" w:cs="Arial"/>
          <w:szCs w:val="24"/>
        </w:rPr>
        <w:t>tyres</w:t>
      </w:r>
      <w:proofErr w:type="spellEnd"/>
      <w:r w:rsidR="009D0D7E" w:rsidRPr="00103A7F">
        <w:rPr>
          <w:rFonts w:eastAsia="Calibri" w:cs="Arial"/>
          <w:szCs w:val="24"/>
        </w:rPr>
        <w:t xml:space="preserve"> and hence the emissions can be estimated.</w:t>
      </w:r>
      <w:r w:rsidR="00A37201" w:rsidRPr="00103A7F">
        <w:rPr>
          <w:rFonts w:eastAsia="Calibri" w:cs="Arial"/>
          <w:szCs w:val="24"/>
        </w:rPr>
        <w:t xml:space="preserve"> The data provider would have to provide a supplier specific calorific value as SAGERS currently does no</w:t>
      </w:r>
      <w:r w:rsidR="00394BB8" w:rsidRPr="00103A7F">
        <w:rPr>
          <w:rFonts w:eastAsia="Calibri" w:cs="Arial"/>
          <w:szCs w:val="24"/>
        </w:rPr>
        <w:t>t</w:t>
      </w:r>
      <w:r w:rsidR="00A37201" w:rsidRPr="00103A7F">
        <w:rPr>
          <w:rFonts w:eastAsia="Calibri" w:cs="Arial"/>
          <w:szCs w:val="24"/>
        </w:rPr>
        <w:t xml:space="preserve"> have a default or country specific </w:t>
      </w:r>
      <w:r w:rsidR="00B66790" w:rsidRPr="00103A7F">
        <w:rPr>
          <w:rFonts w:eastAsia="Calibri" w:cs="Arial"/>
          <w:szCs w:val="24"/>
        </w:rPr>
        <w:t xml:space="preserve">calorific value for waste </w:t>
      </w:r>
      <w:proofErr w:type="spellStart"/>
      <w:r w:rsidR="00B66790" w:rsidRPr="00103A7F">
        <w:rPr>
          <w:rFonts w:eastAsia="Calibri" w:cs="Arial"/>
          <w:szCs w:val="24"/>
        </w:rPr>
        <w:t>tyres</w:t>
      </w:r>
      <w:proofErr w:type="spellEnd"/>
      <w:r w:rsidR="00B66790" w:rsidRPr="00103A7F">
        <w:rPr>
          <w:rFonts w:eastAsia="Calibri" w:cs="Arial"/>
          <w:szCs w:val="24"/>
        </w:rPr>
        <w:t>.</w:t>
      </w:r>
    </w:p>
    <w:p w14:paraId="280E159D" w14:textId="4C958EDA" w:rsidR="00D42E3F" w:rsidRPr="006C3249" w:rsidRDefault="00D42E3F" w:rsidP="0A4EECCE">
      <w:pPr>
        <w:spacing w:line="257" w:lineRule="auto"/>
        <w:jc w:val="both"/>
        <w:rPr>
          <w:rFonts w:eastAsia="Calibri" w:cs="Arial"/>
          <w:b/>
          <w:bCs/>
          <w:szCs w:val="24"/>
        </w:rPr>
      </w:pPr>
    </w:p>
    <w:p w14:paraId="4CAEC0F2" w14:textId="227028E8" w:rsidR="00E255CF" w:rsidRPr="00E255CF" w:rsidRDefault="0993C352" w:rsidP="000863DA">
      <w:pPr>
        <w:pStyle w:val="ListParagraph"/>
        <w:numPr>
          <w:ilvl w:val="1"/>
          <w:numId w:val="18"/>
        </w:numPr>
        <w:rPr>
          <w:rFonts w:eastAsiaTheme="majorEastAsia" w:cstheme="majorBidi"/>
          <w:b/>
          <w:bCs/>
          <w:color w:val="C98711"/>
          <w:sz w:val="26"/>
          <w:szCs w:val="26"/>
        </w:rPr>
      </w:pPr>
      <w:r w:rsidRPr="42BAF644">
        <w:rPr>
          <w:rFonts w:eastAsiaTheme="majorEastAsia" w:cstheme="majorBidi"/>
          <w:b/>
          <w:bCs/>
          <w:color w:val="C98711"/>
          <w:sz w:val="26"/>
          <w:szCs w:val="26"/>
        </w:rPr>
        <w:t>There are a few companies who need to start using Tier 2 or Tier 3 methods to determine their emissions next year. With this in mind, is there any guidance as to what would be acceptable as a Tier 2 emission factor? For example, if they needed a Tier 2 emission factor for coal, would it be acceptable for them to base this emission factor on some combustion tests done on the coal in the lab? If so, then how many tests would be required etc.? What would be acceptable to DFFE?</w:t>
      </w:r>
    </w:p>
    <w:p w14:paraId="2587ECF8" w14:textId="2B3C8B0A" w:rsidR="00D93528" w:rsidRDefault="4CCE3CE8" w:rsidP="00843622">
      <w:pPr>
        <w:jc w:val="both"/>
        <w:rPr>
          <w:rFonts w:eastAsia="Calibri" w:cs="Arial"/>
          <w:szCs w:val="24"/>
        </w:rPr>
      </w:pPr>
      <w:r w:rsidRPr="7F7D1004">
        <w:rPr>
          <w:rFonts w:eastAsia="Calibri" w:cs="Arial"/>
          <w:szCs w:val="24"/>
        </w:rPr>
        <w:t>Any emission factor that is not already on the SAGERS should undergo an approv</w:t>
      </w:r>
      <w:r w:rsidR="7217F584" w:rsidRPr="7F7D1004">
        <w:rPr>
          <w:rFonts w:eastAsia="Calibri" w:cs="Arial"/>
          <w:szCs w:val="24"/>
        </w:rPr>
        <w:t xml:space="preserve">al process before it can be used. </w:t>
      </w:r>
    </w:p>
    <w:p w14:paraId="76D011ED" w14:textId="1D889F81" w:rsidR="00D93528" w:rsidRDefault="19A21258" w:rsidP="00843622">
      <w:pPr>
        <w:jc w:val="both"/>
        <w:rPr>
          <w:rFonts w:eastAsia="Calibri" w:cs="Arial"/>
          <w:szCs w:val="24"/>
        </w:rPr>
      </w:pPr>
      <w:r w:rsidRPr="7F7D1004">
        <w:rPr>
          <w:rFonts w:eastAsia="Calibri" w:cs="Arial"/>
          <w:szCs w:val="24"/>
        </w:rPr>
        <w:t>Before a tier 2 emission</w:t>
      </w:r>
      <w:r w:rsidR="557B5874" w:rsidRPr="7F7D1004">
        <w:rPr>
          <w:rFonts w:eastAsia="Calibri" w:cs="Arial"/>
          <w:szCs w:val="24"/>
        </w:rPr>
        <w:t>s</w:t>
      </w:r>
      <w:r w:rsidRPr="7F7D1004">
        <w:rPr>
          <w:rFonts w:eastAsia="Calibri" w:cs="Arial"/>
          <w:szCs w:val="24"/>
        </w:rPr>
        <w:t xml:space="preserve"> </w:t>
      </w:r>
      <w:r w:rsidR="6529D278" w:rsidRPr="7F7D1004">
        <w:rPr>
          <w:rFonts w:eastAsia="Calibri" w:cs="Arial"/>
          <w:szCs w:val="24"/>
        </w:rPr>
        <w:t xml:space="preserve">factor </w:t>
      </w:r>
      <w:r w:rsidRPr="7F7D1004">
        <w:rPr>
          <w:rFonts w:eastAsia="Calibri" w:cs="Arial"/>
          <w:szCs w:val="24"/>
        </w:rPr>
        <w:t xml:space="preserve">can be used, there is an approved process that must be followed in order to establish the </w:t>
      </w:r>
      <w:r w:rsidR="32949734" w:rsidRPr="7F7D1004">
        <w:rPr>
          <w:rFonts w:eastAsia="Calibri" w:cs="Arial"/>
          <w:szCs w:val="24"/>
        </w:rPr>
        <w:t xml:space="preserve">specific </w:t>
      </w:r>
      <w:r w:rsidRPr="7F7D1004">
        <w:rPr>
          <w:rFonts w:eastAsia="Calibri" w:cs="Arial"/>
          <w:szCs w:val="24"/>
        </w:rPr>
        <w:t>em</w:t>
      </w:r>
      <w:r w:rsidR="394E6BD9" w:rsidRPr="7F7D1004">
        <w:rPr>
          <w:rFonts w:eastAsia="Calibri" w:cs="Arial"/>
          <w:szCs w:val="24"/>
        </w:rPr>
        <w:t>ission</w:t>
      </w:r>
      <w:r w:rsidR="3FF47E8F" w:rsidRPr="7F7D1004">
        <w:rPr>
          <w:rFonts w:eastAsia="Calibri" w:cs="Arial"/>
          <w:szCs w:val="24"/>
        </w:rPr>
        <w:t>s</w:t>
      </w:r>
      <w:r w:rsidR="394E6BD9" w:rsidRPr="7F7D1004">
        <w:rPr>
          <w:rFonts w:eastAsia="Calibri" w:cs="Arial"/>
          <w:szCs w:val="24"/>
        </w:rPr>
        <w:t xml:space="preserve"> factor. This process can differ between processes and products</w:t>
      </w:r>
      <w:r w:rsidR="6971228B" w:rsidRPr="7F7D1004">
        <w:rPr>
          <w:rFonts w:eastAsia="Calibri" w:cs="Arial"/>
          <w:szCs w:val="24"/>
        </w:rPr>
        <w:t>. A methodology must be presented to the DFFE for estab</w:t>
      </w:r>
      <w:r w:rsidR="00CC04D5">
        <w:rPr>
          <w:rFonts w:eastAsia="Calibri" w:cs="Arial"/>
          <w:szCs w:val="24"/>
        </w:rPr>
        <w:t>l</w:t>
      </w:r>
      <w:r w:rsidR="6971228B" w:rsidRPr="7F7D1004">
        <w:rPr>
          <w:rFonts w:eastAsia="Calibri" w:cs="Arial"/>
          <w:szCs w:val="24"/>
        </w:rPr>
        <w:t>ishment of this factor beforehand.</w:t>
      </w:r>
    </w:p>
    <w:p w14:paraId="53C29882" w14:textId="0D663FC3" w:rsidR="00D93528" w:rsidRDefault="0DC0AFFE" w:rsidP="0076407E">
      <w:pPr>
        <w:jc w:val="both"/>
        <w:rPr>
          <w:rFonts w:eastAsia="Calibri" w:cs="Arial"/>
          <w:szCs w:val="24"/>
        </w:rPr>
      </w:pPr>
      <w:r w:rsidRPr="7F7D1004">
        <w:rPr>
          <w:rFonts w:eastAsia="Calibri" w:cs="Arial"/>
          <w:szCs w:val="24"/>
        </w:rPr>
        <w:t>Note that, s</w:t>
      </w:r>
      <w:r w:rsidR="7217F584" w:rsidRPr="7F7D1004">
        <w:rPr>
          <w:rFonts w:eastAsia="Calibri" w:cs="Arial"/>
          <w:szCs w:val="24"/>
        </w:rPr>
        <w:t xml:space="preserve">hould the supplier of a product be able to give a verified </w:t>
      </w:r>
      <w:r w:rsidR="7209BC6A" w:rsidRPr="7F7D1004">
        <w:rPr>
          <w:rFonts w:eastAsia="Calibri" w:cs="Arial"/>
          <w:szCs w:val="24"/>
        </w:rPr>
        <w:t>emission factor,</w:t>
      </w:r>
      <w:r w:rsidR="003415E5">
        <w:rPr>
          <w:rFonts w:eastAsia="Calibri" w:cs="Arial"/>
          <w:szCs w:val="24"/>
        </w:rPr>
        <w:t xml:space="preserve"> DFFE will verify the emission factor,</w:t>
      </w:r>
      <w:r w:rsidR="7209BC6A" w:rsidRPr="7F7D1004">
        <w:rPr>
          <w:rFonts w:eastAsia="Calibri" w:cs="Arial"/>
          <w:szCs w:val="24"/>
        </w:rPr>
        <w:t xml:space="preserve"> then it can also be used.</w:t>
      </w:r>
    </w:p>
    <w:p w14:paraId="26A8E2CC" w14:textId="0DB1CCC7" w:rsidR="00E255CF" w:rsidRPr="00E255CF" w:rsidRDefault="0993C352" w:rsidP="000863DA">
      <w:pPr>
        <w:pStyle w:val="Heading2"/>
        <w:numPr>
          <w:ilvl w:val="1"/>
          <w:numId w:val="18"/>
        </w:numPr>
        <w:jc w:val="both"/>
        <w:rPr>
          <w:rFonts w:eastAsia="Calibri" w:cs="Arial"/>
        </w:rPr>
      </w:pPr>
      <w:bookmarkStart w:id="652" w:name="_Toc109812449"/>
      <w:r>
        <w:t>Will the SA Emission Factors be published in time for the March 2023 GHG reporting cycle? Or can I assume that we’ll need to use Tier 3, mass balance, etc. methods where “Tier 2 or 3” is stipulated in the Regulations?</w:t>
      </w:r>
      <w:bookmarkEnd w:id="652"/>
    </w:p>
    <w:p w14:paraId="2ED779DA" w14:textId="081686D7" w:rsidR="18504397" w:rsidRPr="00103A7F" w:rsidRDefault="18504397" w:rsidP="00843622">
      <w:pPr>
        <w:jc w:val="both"/>
        <w:rPr>
          <w:rFonts w:eastAsia="Calibri" w:cs="Arial"/>
        </w:rPr>
      </w:pPr>
      <w:bookmarkStart w:id="653" w:name="_Toc95209892"/>
      <w:r w:rsidRPr="3C20B743">
        <w:rPr>
          <w:rFonts w:eastAsia="Calibri" w:cs="Arial"/>
          <w:lang w:eastAsia="en-US"/>
        </w:rPr>
        <w:t xml:space="preserve">Not all </w:t>
      </w:r>
      <w:r w:rsidR="007B05A8" w:rsidRPr="3C20B743">
        <w:rPr>
          <w:rFonts w:eastAsia="Calibri" w:cs="Arial"/>
          <w:lang w:eastAsia="en-US"/>
        </w:rPr>
        <w:t>T</w:t>
      </w:r>
      <w:r w:rsidRPr="3C20B743">
        <w:rPr>
          <w:rFonts w:eastAsia="Calibri" w:cs="Arial"/>
          <w:lang w:eastAsia="en-US"/>
        </w:rPr>
        <w:t xml:space="preserve">ier 2 emission factors will be available before March </w:t>
      </w:r>
      <w:r w:rsidR="189A0C82" w:rsidRPr="3C20B743">
        <w:rPr>
          <w:rFonts w:eastAsia="Calibri" w:cs="Arial"/>
          <w:lang w:eastAsia="en-US"/>
        </w:rPr>
        <w:t>2023.</w:t>
      </w:r>
      <w:r w:rsidRPr="3C20B743">
        <w:rPr>
          <w:rFonts w:eastAsia="Calibri" w:cs="Arial"/>
          <w:lang w:eastAsia="en-US"/>
        </w:rPr>
        <w:t xml:space="preserve"> Should they not be available, a Tier 3 methodology should be used</w:t>
      </w:r>
      <w:r w:rsidR="003554B7" w:rsidRPr="3C20B743">
        <w:rPr>
          <w:rFonts w:eastAsia="Calibri" w:cs="Arial"/>
          <w:color w:val="4C4635" w:themeColor="text2" w:themeShade="BF"/>
          <w:lang w:eastAsia="en-US"/>
        </w:rPr>
        <w:t>.</w:t>
      </w:r>
      <w:r w:rsidR="2114A931" w:rsidRPr="3C20B743">
        <w:rPr>
          <w:rFonts w:eastAsia="Calibri" w:cs="Arial"/>
          <w:b/>
          <w:color w:val="4C4635" w:themeColor="text2" w:themeShade="BF"/>
          <w:lang w:eastAsia="en-US"/>
        </w:rPr>
        <w:t xml:space="preserve"> </w:t>
      </w:r>
      <w:r w:rsidR="2114A931" w:rsidRPr="3C20B743">
        <w:rPr>
          <w:rFonts w:eastAsia="Calibri" w:cs="Arial"/>
        </w:rPr>
        <w:t>Note that, should the supplier of a product be able to give a verified emission factor, then it can also be used</w:t>
      </w:r>
      <w:r w:rsidR="003554B7" w:rsidRPr="3C20B743">
        <w:rPr>
          <w:rFonts w:eastAsia="Calibri" w:cs="Arial"/>
        </w:rPr>
        <w:t xml:space="preserve">, </w:t>
      </w:r>
      <w:r w:rsidR="004D6499" w:rsidRPr="3C20B743">
        <w:rPr>
          <w:rFonts w:eastAsia="Calibri" w:cs="Arial"/>
        </w:rPr>
        <w:t xml:space="preserve">provided that it is approved by DFFE.  The supplier must submit a country specific request </w:t>
      </w:r>
      <w:r w:rsidR="003554B7" w:rsidRPr="3C20B743">
        <w:rPr>
          <w:rFonts w:eastAsia="Calibri" w:cs="Arial"/>
        </w:rPr>
        <w:t>submission to DFFE for approval via SAGERS.</w:t>
      </w:r>
    </w:p>
    <w:p w14:paraId="51C0927D" w14:textId="532236AB" w:rsidR="003809F3" w:rsidRDefault="753D1B6D" w:rsidP="0076407E">
      <w:pPr>
        <w:jc w:val="both"/>
        <w:rPr>
          <w:rFonts w:eastAsia="Arial Narrow" w:cs="Arial Narrow"/>
          <w:b/>
          <w:bCs/>
          <w:color w:val="000000"/>
          <w:sz w:val="26"/>
          <w:szCs w:val="26"/>
        </w:rPr>
      </w:pPr>
      <w:r w:rsidRPr="7F7D1004">
        <w:rPr>
          <w:rFonts w:eastAsia="Calibri" w:cs="Arial"/>
          <w:szCs w:val="24"/>
        </w:rPr>
        <w:t xml:space="preserve">Should a </w:t>
      </w:r>
      <w:r w:rsidR="00D013A2">
        <w:rPr>
          <w:rFonts w:eastAsia="Calibri" w:cs="Arial"/>
          <w:szCs w:val="24"/>
        </w:rPr>
        <w:t>T</w:t>
      </w:r>
      <w:r w:rsidRPr="7F7D1004">
        <w:rPr>
          <w:rFonts w:eastAsia="Calibri" w:cs="Arial"/>
          <w:szCs w:val="24"/>
        </w:rPr>
        <w:t>ier 3 methodology be used, it must be an approved methodology or mass ba</w:t>
      </w:r>
      <w:r w:rsidR="673F1F10" w:rsidRPr="7F7D1004">
        <w:rPr>
          <w:rFonts w:eastAsia="Calibri" w:cs="Arial"/>
          <w:szCs w:val="24"/>
        </w:rPr>
        <w:t>lance.</w:t>
      </w:r>
      <w:r w:rsidR="00EB256D">
        <w:rPr>
          <w:rFonts w:eastAsia="Calibri" w:cs="Arial"/>
          <w:szCs w:val="24"/>
        </w:rPr>
        <w:t xml:space="preserve"> Supporting evidence of how the emissions were </w:t>
      </w:r>
      <w:r w:rsidR="00EB79F9">
        <w:rPr>
          <w:rFonts w:eastAsia="Calibri" w:cs="Arial"/>
          <w:szCs w:val="24"/>
        </w:rPr>
        <w:t>estimated</w:t>
      </w:r>
      <w:r w:rsidR="00EB256D">
        <w:rPr>
          <w:rFonts w:eastAsia="Calibri" w:cs="Arial"/>
          <w:szCs w:val="24"/>
        </w:rPr>
        <w:t xml:space="preserve"> must be attached </w:t>
      </w:r>
      <w:r w:rsidR="00EB79F9">
        <w:rPr>
          <w:rFonts w:eastAsia="Calibri" w:cs="Arial"/>
          <w:szCs w:val="24"/>
        </w:rPr>
        <w:t>to the GHG report on SAGERS.</w:t>
      </w:r>
      <w:bookmarkEnd w:id="653"/>
    </w:p>
    <w:p w14:paraId="147396A4" w14:textId="1286B965" w:rsidR="004032D9" w:rsidRPr="006C3249" w:rsidRDefault="6BBD2DEB" w:rsidP="000863DA">
      <w:pPr>
        <w:pStyle w:val="Heading2"/>
        <w:numPr>
          <w:ilvl w:val="1"/>
          <w:numId w:val="18"/>
        </w:numPr>
        <w:rPr>
          <w:rFonts w:eastAsia="Calibri" w:cs="Arial"/>
        </w:rPr>
      </w:pPr>
      <w:bookmarkStart w:id="654" w:name="_Toc109812450"/>
      <w:r>
        <w:t>Can I report my GHG emissions using the 2019 IPCC Refinements?</w:t>
      </w:r>
      <w:bookmarkEnd w:id="654"/>
    </w:p>
    <w:p w14:paraId="18F0C822" w14:textId="77777777" w:rsidR="00516E1A" w:rsidRPr="00F17E6E" w:rsidRDefault="00516E1A" w:rsidP="00F17E6E">
      <w:pPr>
        <w:jc w:val="both"/>
        <w:rPr>
          <w:rFonts w:eastAsia="Calibri" w:cs="Arial"/>
          <w:color w:val="000000"/>
          <w:szCs w:val="24"/>
        </w:rPr>
      </w:pPr>
      <w:r w:rsidRPr="00F17E6E">
        <w:rPr>
          <w:rFonts w:eastAsia="Calibri" w:cs="Arial"/>
          <w:color w:val="000000"/>
          <w:szCs w:val="24"/>
        </w:rPr>
        <w:t>The 2019 IPCC Refinements should not be used for now. They should only be used as and when they are reflected in the New Methodological Guidelines that will be published in due course.</w:t>
      </w:r>
    </w:p>
    <w:p w14:paraId="4F99F04B" w14:textId="01CD04A7" w:rsidR="00AD61AA" w:rsidRDefault="00AD61AA" w:rsidP="004355B6">
      <w:pPr>
        <w:pStyle w:val="Caption"/>
        <w:keepNext/>
      </w:pPr>
    </w:p>
    <w:p w14:paraId="71EDA7F0" w14:textId="60BA9F93" w:rsidR="00B54C27" w:rsidRPr="006C3249" w:rsidRDefault="00B54C27" w:rsidP="000863DA">
      <w:pPr>
        <w:pStyle w:val="Heading2"/>
        <w:numPr>
          <w:ilvl w:val="1"/>
          <w:numId w:val="18"/>
        </w:numPr>
        <w:rPr>
          <w:rFonts w:eastAsia="Calibri" w:cs="Arial"/>
        </w:rPr>
      </w:pPr>
      <w:bookmarkStart w:id="655" w:name="_Toc109812451"/>
      <w:r w:rsidRPr="00B54C27">
        <w:t>Emissions from Fishing Vessels</w:t>
      </w:r>
      <w:bookmarkEnd w:id="655"/>
    </w:p>
    <w:p w14:paraId="322F45B4" w14:textId="68647E1C" w:rsidR="004355B6" w:rsidRPr="00BE4401" w:rsidRDefault="00B54C27" w:rsidP="004355B6">
      <w:pPr>
        <w:rPr>
          <w:lang w:val="en-ZA"/>
        </w:rPr>
      </w:pPr>
      <w:r w:rsidRPr="00D45EE4">
        <w:rPr>
          <w:lang w:val="en-ZA"/>
        </w:rPr>
        <w:t>A data provider that owns and operates fishing vessels should register for either IPCC code 1A3di for international water-borne navigation or IPCC code 1A3dii for domestic water-borne navigation, depending on which code applies and if the threshold of 100 000 litres /year of fuel is used.</w:t>
      </w:r>
    </w:p>
    <w:p w14:paraId="345B4237" w14:textId="6036BEB3" w:rsidR="004355B6" w:rsidRDefault="004355B6" w:rsidP="0A4EECCE">
      <w:pPr>
        <w:jc w:val="both"/>
        <w:rPr>
          <w:rFonts w:eastAsia="Calibri" w:cs="Arial"/>
          <w:color w:val="000000"/>
          <w:szCs w:val="24"/>
        </w:rPr>
      </w:pPr>
    </w:p>
    <w:p w14:paraId="2F3EC06E" w14:textId="0188E8E2" w:rsidR="009A4F94" w:rsidRDefault="009A4F94" w:rsidP="0A4EECCE">
      <w:pPr>
        <w:jc w:val="both"/>
        <w:rPr>
          <w:rFonts w:eastAsia="Calibri" w:cs="Arial"/>
          <w:color w:val="000000"/>
          <w:szCs w:val="24"/>
        </w:rPr>
      </w:pPr>
    </w:p>
    <w:p w14:paraId="7C5AE7F6" w14:textId="7DE1EE81" w:rsidR="009A4F94" w:rsidRDefault="009A4F94" w:rsidP="0A4EECCE">
      <w:pPr>
        <w:jc w:val="both"/>
        <w:rPr>
          <w:rFonts w:eastAsia="Calibri" w:cs="Arial"/>
          <w:color w:val="000000"/>
          <w:szCs w:val="24"/>
        </w:rPr>
      </w:pPr>
    </w:p>
    <w:p w14:paraId="5F87B6AF" w14:textId="62ADADD2" w:rsidR="009A4F94" w:rsidRDefault="009A4F94" w:rsidP="0A4EECCE">
      <w:pPr>
        <w:jc w:val="both"/>
        <w:rPr>
          <w:rFonts w:eastAsia="Calibri" w:cs="Arial"/>
          <w:color w:val="000000"/>
          <w:szCs w:val="24"/>
        </w:rPr>
      </w:pPr>
    </w:p>
    <w:p w14:paraId="3BF22A28" w14:textId="27D08E3F" w:rsidR="009A4F94" w:rsidRDefault="009A4F94" w:rsidP="0A4EECCE">
      <w:pPr>
        <w:jc w:val="both"/>
        <w:rPr>
          <w:rFonts w:eastAsia="Calibri" w:cs="Arial"/>
          <w:color w:val="000000"/>
          <w:szCs w:val="24"/>
        </w:rPr>
      </w:pPr>
    </w:p>
    <w:p w14:paraId="06EDDF28" w14:textId="7C6F5AF9" w:rsidR="009A4F94" w:rsidRDefault="009A4F94" w:rsidP="0A4EECCE">
      <w:pPr>
        <w:jc w:val="both"/>
        <w:rPr>
          <w:rFonts w:eastAsia="Calibri" w:cs="Arial"/>
          <w:color w:val="000000"/>
          <w:szCs w:val="24"/>
        </w:rPr>
      </w:pPr>
    </w:p>
    <w:p w14:paraId="5701F1CD" w14:textId="2F10A710" w:rsidR="009A4F94" w:rsidRDefault="009A4F94" w:rsidP="0A4EECCE">
      <w:pPr>
        <w:jc w:val="both"/>
        <w:rPr>
          <w:rFonts w:eastAsia="Calibri" w:cs="Arial"/>
          <w:color w:val="000000"/>
          <w:szCs w:val="24"/>
        </w:rPr>
      </w:pPr>
    </w:p>
    <w:p w14:paraId="2CE5DBAB" w14:textId="7E03A04E" w:rsidR="009A4F94" w:rsidRDefault="009A4F94" w:rsidP="0A4EECCE">
      <w:pPr>
        <w:jc w:val="both"/>
        <w:rPr>
          <w:rFonts w:eastAsia="Calibri" w:cs="Arial"/>
          <w:color w:val="000000"/>
          <w:szCs w:val="24"/>
        </w:rPr>
      </w:pPr>
    </w:p>
    <w:p w14:paraId="6C29D03D" w14:textId="28EAB9CA" w:rsidR="009A4F94" w:rsidRDefault="009A4F94" w:rsidP="0A4EECCE">
      <w:pPr>
        <w:jc w:val="both"/>
        <w:rPr>
          <w:rFonts w:eastAsia="Calibri" w:cs="Arial"/>
          <w:color w:val="000000"/>
          <w:szCs w:val="24"/>
        </w:rPr>
      </w:pPr>
    </w:p>
    <w:p w14:paraId="4FE65006" w14:textId="33EBE0D3" w:rsidR="009A4F94" w:rsidRDefault="009A4F94" w:rsidP="0A4EECCE">
      <w:pPr>
        <w:jc w:val="both"/>
        <w:rPr>
          <w:rFonts w:eastAsia="Calibri" w:cs="Arial"/>
          <w:color w:val="000000"/>
          <w:szCs w:val="24"/>
        </w:rPr>
      </w:pPr>
    </w:p>
    <w:p w14:paraId="7B1CC202" w14:textId="77777777" w:rsidR="009A4F94" w:rsidRPr="00F103C7" w:rsidRDefault="009A4F94" w:rsidP="0A4EECCE">
      <w:pPr>
        <w:jc w:val="both"/>
        <w:rPr>
          <w:rFonts w:eastAsia="Calibri" w:cs="Arial"/>
          <w:color w:val="000000"/>
          <w:szCs w:val="24"/>
        </w:rPr>
      </w:pPr>
    </w:p>
    <w:sectPr w:rsidR="009A4F94" w:rsidRPr="00F103C7" w:rsidSect="008244C9">
      <w:footerReference w:type="default" r:id="rId68"/>
      <w:footerReference w:type="first" r:id="rId69"/>
      <w:pgSz w:w="12240" w:h="15840"/>
      <w:pgMar w:top="1588" w:right="2160" w:bottom="1440" w:left="1797" w:header="510" w:footer="62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984E9" w14:textId="77777777" w:rsidR="00161F7F" w:rsidRDefault="00161F7F">
      <w:pPr>
        <w:spacing w:after="0" w:line="240" w:lineRule="auto"/>
      </w:pPr>
      <w:r>
        <w:separator/>
      </w:r>
    </w:p>
  </w:endnote>
  <w:endnote w:type="continuationSeparator" w:id="0">
    <w:p w14:paraId="131EBB1A" w14:textId="77777777" w:rsidR="00161F7F" w:rsidRDefault="00161F7F">
      <w:pPr>
        <w:spacing w:after="0" w:line="240" w:lineRule="auto"/>
      </w:pPr>
      <w:r>
        <w:continuationSeparator/>
      </w:r>
    </w:p>
  </w:endnote>
  <w:endnote w:type="continuationNotice" w:id="1">
    <w:p w14:paraId="1EDA7BB4" w14:textId="77777777" w:rsidR="00161F7F" w:rsidRDefault="00161F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004058"/>
      <w:docPartObj>
        <w:docPartGallery w:val="Page Numbers (Bottom of Page)"/>
        <w:docPartUnique/>
      </w:docPartObj>
    </w:sdtPr>
    <w:sdtEndPr/>
    <w:sdtContent>
      <w:p w14:paraId="74CF3891" w14:textId="77777777" w:rsidR="003C1F73" w:rsidRDefault="003C1F73">
        <w:pPr>
          <w:pStyle w:val="Footer"/>
        </w:pPr>
        <w:r>
          <w:rPr>
            <w:noProof/>
            <w:lang w:val="en-ZA" w:eastAsia="en-ZA"/>
          </w:rPr>
          <mc:AlternateContent>
            <mc:Choice Requires="wpg">
              <w:drawing>
                <wp:anchor distT="0" distB="0" distL="114300" distR="114300" simplePos="0" relativeHeight="251658240" behindDoc="0" locked="0" layoutInCell="1" allowOverlap="1" wp14:anchorId="0DE29793" wp14:editId="48DD943B">
                  <wp:simplePos x="0" y="0"/>
                  <wp:positionH relativeFrom="page">
                    <wp:align>center</wp:align>
                  </wp:positionH>
                  <wp:positionV relativeFrom="bottomMargin">
                    <wp:align>center</wp:align>
                  </wp:positionV>
                  <wp:extent cx="7753350" cy="190500"/>
                  <wp:effectExtent l="0" t="0" r="1905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F8A43" w14:textId="2AFE2755" w:rsidR="003C1F73" w:rsidRPr="00D154AD" w:rsidRDefault="003C1F73">
                                <w:pPr>
                                  <w:jc w:val="center"/>
                                  <w:rPr>
                                    <w14:textOutline w14:w="9525" w14:cap="rnd" w14:cmpd="sng" w14:algn="ctr">
                                      <w14:solidFill>
                                        <w14:srgbClr w14:val="367E55"/>
                                      </w14:solidFill>
                                      <w14:prstDash w14:val="solid"/>
                                      <w14:bevel/>
                                    </w14:textOutline>
                                  </w:rPr>
                                </w:pPr>
                                <w:r w:rsidRPr="00D154AD">
                                  <w:rPr>
                                    <w14:textOutline w14:w="9525" w14:cap="rnd" w14:cmpd="sng" w14:algn="ctr">
                                      <w14:solidFill>
                                        <w14:srgbClr w14:val="367E55"/>
                                      </w14:solidFill>
                                      <w14:prstDash w14:val="solid"/>
                                      <w14:bevel/>
                                    </w14:textOutline>
                                  </w:rPr>
                                  <w:fldChar w:fldCharType="begin"/>
                                </w:r>
                                <w:r w:rsidRPr="00D154AD">
                                  <w:rPr>
                                    <w14:textOutline w14:w="9525" w14:cap="rnd" w14:cmpd="sng" w14:algn="ctr">
                                      <w14:solidFill>
                                        <w14:srgbClr w14:val="367E55"/>
                                      </w14:solidFill>
                                      <w14:prstDash w14:val="solid"/>
                                      <w14:bevel/>
                                    </w14:textOutline>
                                  </w:rPr>
                                  <w:instrText xml:space="preserve"> PAGE    \* MERGEFORMAT </w:instrText>
                                </w:r>
                                <w:r w:rsidRPr="00D154AD">
                                  <w:rPr>
                                    <w14:textOutline w14:w="9525" w14:cap="rnd" w14:cmpd="sng" w14:algn="ctr">
                                      <w14:solidFill>
                                        <w14:srgbClr w14:val="367E55"/>
                                      </w14:solidFill>
                                      <w14:prstDash w14:val="solid"/>
                                      <w14:bevel/>
                                    </w14:textOutline>
                                  </w:rPr>
                                  <w:fldChar w:fldCharType="separate"/>
                                </w:r>
                                <w:r w:rsidR="00F238C5" w:rsidRPr="00F238C5">
                                  <w:rPr>
                                    <w:noProof/>
                                    <w:color w:val="8C8C8C" w:themeColor="background1" w:themeShade="8C"/>
                                    <w14:textOutline w14:w="9525" w14:cap="rnd" w14:cmpd="sng" w14:algn="ctr">
                                      <w14:solidFill>
                                        <w14:srgbClr w14:val="367E55"/>
                                      </w14:solidFill>
                                      <w14:prstDash w14:val="solid"/>
                                      <w14:bevel/>
                                    </w14:textOutline>
                                  </w:rPr>
                                  <w:t>46</w:t>
                                </w:r>
                                <w:r w:rsidRPr="00D154AD">
                                  <w:rPr>
                                    <w:noProof/>
                                    <w:color w:val="8C8C8C" w:themeColor="background1" w:themeShade="8C"/>
                                    <w14:textOutline w14:w="9525" w14:cap="rnd" w14:cmpd="sng" w14:algn="ctr">
                                      <w14:solidFill>
                                        <w14:srgbClr w14:val="367E55"/>
                                      </w14:solidFill>
                                      <w14:prstDash w14:val="solid"/>
                                      <w14:bevel/>
                                    </w14:textOutline>
                                  </w:rPr>
                                  <w:fldChar w:fldCharType="end"/>
                                </w:r>
                              </w:p>
                            </w:txbxContent>
                          </wps:txbx>
                          <wps:bodyPr rot="0" vert="horz" wrap="square" lIns="0" tIns="0" rIns="0" bIns="0" anchor="t" anchorCtr="0" upright="1">
                            <a:noAutofit/>
                          </wps:bodyPr>
                        </wps:wsp>
                        <wpg:grpSp>
                          <wpg:cNvPr id="56" name="Group 31"/>
                          <wpg:cNvGrpSpPr>
                            <a:grpSpLocks/>
                          </wpg:cNvGrpSpPr>
                          <wpg:grpSpPr bwMode="auto">
                            <a:xfrm flipH="1">
                              <a:off x="0" y="14970"/>
                              <a:ext cx="12255" cy="230"/>
                              <a:chOff x="-8" y="14978"/>
                              <a:chExt cx="12255" cy="230"/>
                            </a:xfrm>
                          </wpg:grpSpPr>
                          <wps:wsp>
                            <wps:cNvPr id="57" name="AutoShape 27"/>
                            <wps:cNvCnPr>
                              <a:cxnSpLocks noChangeShapeType="1"/>
                            </wps:cNvCnPr>
                            <wps:spPr bwMode="auto">
                              <a:xfrm flipV="1">
                                <a:off x="-8" y="14978"/>
                                <a:ext cx="1260" cy="230"/>
                              </a:xfrm>
                              <a:prstGeom prst="bentConnector3">
                                <a:avLst>
                                  <a:gd name="adj1" fmla="val 50000"/>
                                </a:avLst>
                              </a:prstGeom>
                              <a:noFill/>
                              <a:ln w="22225">
                                <a:solidFill>
                                  <a:srgbClr val="367E55"/>
                                </a:solidFill>
                                <a:miter lim="800000"/>
                                <a:headEnd/>
                                <a:tailEnd/>
                              </a:ln>
                              <a:extLst>
                                <a:ext uri="{909E8E84-426E-40DD-AFC4-6F175D3DCCD1}">
                                  <a14:hiddenFill xmlns:a14="http://schemas.microsoft.com/office/drawing/2010/main">
                                    <a:noFill/>
                                  </a14:hiddenFill>
                                </a:ext>
                              </a:extLst>
                            </wps:spPr>
                            <wps:bodyPr/>
                          </wps:wsp>
                          <wps:wsp>
                            <wps:cNvPr id="58" name="AutoShape 28"/>
                            <wps:cNvCnPr>
                              <a:cxnSpLocks noChangeShapeType="1"/>
                            </wps:cNvCnPr>
                            <wps:spPr bwMode="auto">
                              <a:xfrm rot="10800000">
                                <a:off x="1252" y="14978"/>
                                <a:ext cx="10995" cy="230"/>
                              </a:xfrm>
                              <a:prstGeom prst="bentConnector3">
                                <a:avLst>
                                  <a:gd name="adj1" fmla="val 96778"/>
                                </a:avLst>
                              </a:prstGeom>
                              <a:noFill/>
                              <a:ln w="22225">
                                <a:solidFill>
                                  <a:srgbClr val="367E5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DE29793" id="Group 54" o:spid="_x0000_s1030"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">
                  <v:shapetype id="_x0000_t202" coordsize="21600,21600" o:spt="202" path="m,l,21600r21600,l21600,xe">
                    <v:stroke joinstyle="miter"/>
                    <v:path gradientshapeok="t" o:connecttype="rect"/>
                  </v:shapetype>
                  <v:shape 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75F8A43" w14:textId="2AFE2755" w:rsidR="003C1F73" w:rsidRPr="00D154AD" w:rsidRDefault="003C1F73">
                          <w:pPr>
                            <w:jc w:val="center"/>
                            <w:rPr>
                              <w14:textOutline w14:w="9525" w14:cap="rnd" w14:cmpd="sng" w14:algn="ctr">
                                <w14:solidFill>
                                  <w14:srgbClr w14:val="367E55"/>
                                </w14:solidFill>
                                <w14:prstDash w14:val="solid"/>
                                <w14:bevel/>
                              </w14:textOutline>
                            </w:rPr>
                          </w:pPr>
                          <w:r w:rsidRPr="00D154AD">
                            <w:rPr>
                              <w14:textOutline w14:w="9525" w14:cap="rnd" w14:cmpd="sng" w14:algn="ctr">
                                <w14:solidFill>
                                  <w14:srgbClr w14:val="367E55"/>
                                </w14:solidFill>
                                <w14:prstDash w14:val="solid"/>
                                <w14:bevel/>
                              </w14:textOutline>
                            </w:rPr>
                            <w:fldChar w:fldCharType="begin"/>
                          </w:r>
                          <w:r w:rsidRPr="00D154AD">
                            <w:rPr>
                              <w14:textOutline w14:w="9525" w14:cap="rnd" w14:cmpd="sng" w14:algn="ctr">
                                <w14:solidFill>
                                  <w14:srgbClr w14:val="367E55"/>
                                </w14:solidFill>
                                <w14:prstDash w14:val="solid"/>
                                <w14:bevel/>
                              </w14:textOutline>
                            </w:rPr>
                            <w:instrText xml:space="preserve"> PAGE    \* MERGEFORMAT </w:instrText>
                          </w:r>
                          <w:r w:rsidRPr="00D154AD">
                            <w:rPr>
                              <w14:textOutline w14:w="9525" w14:cap="rnd" w14:cmpd="sng" w14:algn="ctr">
                                <w14:solidFill>
                                  <w14:srgbClr w14:val="367E55"/>
                                </w14:solidFill>
                                <w14:prstDash w14:val="solid"/>
                                <w14:bevel/>
                              </w14:textOutline>
                            </w:rPr>
                            <w:fldChar w:fldCharType="separate"/>
                          </w:r>
                          <w:r w:rsidR="00F238C5" w:rsidRPr="00F238C5">
                            <w:rPr>
                              <w:noProof/>
                              <w:color w:val="8C8C8C" w:themeColor="background1" w:themeShade="8C"/>
                              <w14:textOutline w14:w="9525" w14:cap="rnd" w14:cmpd="sng" w14:algn="ctr">
                                <w14:solidFill>
                                  <w14:srgbClr w14:val="367E55"/>
                                </w14:solidFill>
                                <w14:prstDash w14:val="solid"/>
                                <w14:bevel/>
                              </w14:textOutline>
                            </w:rPr>
                            <w:t>46</w:t>
                          </w:r>
                          <w:r w:rsidRPr="00D154AD">
                            <w:rPr>
                              <w:noProof/>
                              <w:color w:val="8C8C8C" w:themeColor="background1" w:themeShade="8C"/>
                              <w14:textOutline w14:w="9525" w14:cap="rnd" w14:cmpd="sng" w14:algn="ctr">
                                <w14:solidFill>
                                  <w14:srgbClr w14:val="367E55"/>
                                </w14:solidFill>
                                <w14:prstDash w14:val="solid"/>
                                <w14:bevel/>
                              </w14:textOutline>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" strokecolor="#367e55" strokeweight="1.75pt"/>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" adj="20904" strokecolor="#367e55" strokeweight="1.75pt"/>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5D867" w14:textId="76C8DA66" w:rsidR="003C1F73" w:rsidRDefault="003C1F73" w:rsidP="001E715C">
    <w:pPr>
      <w:pStyle w:val="Footer"/>
      <w:tabs>
        <w:tab w:val="clear" w:pos="4680"/>
        <w:tab w:val="clear" w:pos="9360"/>
        <w:tab w:val="right" w:pos="6573"/>
      </w:tabs>
    </w:pPr>
    <w:r w:rsidRPr="00686649">
      <w:rPr>
        <w:noProof/>
        <w:lang w:val="en-ZA" w:eastAsia="en-ZA"/>
      </w:rPr>
      <w:drawing>
        <wp:anchor distT="0" distB="0" distL="114300" distR="114300" simplePos="0" relativeHeight="251658242" behindDoc="1" locked="0" layoutInCell="1" allowOverlap="1" wp14:anchorId="3D333671" wp14:editId="2C0026A0">
          <wp:simplePos x="0" y="0"/>
          <wp:positionH relativeFrom="column">
            <wp:posOffset>-826770</wp:posOffset>
          </wp:positionH>
          <wp:positionV relativeFrom="paragraph">
            <wp:posOffset>-262890</wp:posOffset>
          </wp:positionV>
          <wp:extent cx="2247900" cy="681532"/>
          <wp:effectExtent l="0" t="0" r="0" b="4445"/>
          <wp:wrapNone/>
          <wp:docPr id="64" name="Picture 64" descr="C:\Users\TMthimunye\Desktop\DEFF new\DEF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thimunye\Desktop\DEFF new\DEFF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47900" cy="681532"/>
                  </a:xfrm>
                  <a:prstGeom prst="rect">
                    <a:avLst/>
                  </a:prstGeom>
                  <a:noFill/>
                  <a:ln>
                    <a:noFill/>
                  </a:ln>
                </pic:spPr>
              </pic:pic>
            </a:graphicData>
          </a:graphic>
        </wp:anchor>
      </w:drawing>
    </w:r>
    <w:r>
      <w:rPr>
        <w:noProof/>
        <w:lang w:val="en-ZA" w:eastAsia="en-ZA"/>
      </w:rPr>
      <w:drawing>
        <wp:anchor distT="0" distB="0" distL="114300" distR="114300" simplePos="0" relativeHeight="251658241" behindDoc="1" locked="0" layoutInCell="1" allowOverlap="1" wp14:anchorId="2B7D0C9C" wp14:editId="48DD8F22">
          <wp:simplePos x="0" y="0"/>
          <wp:positionH relativeFrom="rightMargin">
            <wp:posOffset>123825</wp:posOffset>
          </wp:positionH>
          <wp:positionV relativeFrom="paragraph">
            <wp:posOffset>-189230</wp:posOffset>
          </wp:positionV>
          <wp:extent cx="609600" cy="6096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DEE52" w14:textId="77777777" w:rsidR="00161F7F" w:rsidRDefault="00161F7F">
      <w:pPr>
        <w:spacing w:after="0" w:line="240" w:lineRule="auto"/>
      </w:pPr>
      <w:r>
        <w:separator/>
      </w:r>
    </w:p>
  </w:footnote>
  <w:footnote w:type="continuationSeparator" w:id="0">
    <w:p w14:paraId="2133544C" w14:textId="77777777" w:rsidR="00161F7F" w:rsidRDefault="00161F7F">
      <w:pPr>
        <w:spacing w:after="0" w:line="240" w:lineRule="auto"/>
      </w:pPr>
      <w:r>
        <w:continuationSeparator/>
      </w:r>
    </w:p>
  </w:footnote>
  <w:footnote w:type="continuationNotice" w:id="1">
    <w:p w14:paraId="2B4E8CDA" w14:textId="77777777" w:rsidR="00161F7F" w:rsidRDefault="00161F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5499"/>
    <w:multiLevelType w:val="multilevel"/>
    <w:tmpl w:val="B9405358"/>
    <w:lvl w:ilvl="0">
      <w:start w:val="5"/>
      <w:numFmt w:val="decimal"/>
      <w:lvlText w:val="%1."/>
      <w:lvlJc w:val="left"/>
      <w:pPr>
        <w:ind w:left="360" w:hanging="360"/>
      </w:pPr>
      <w:rPr>
        <w:rFonts w:eastAsiaTheme="majorEastAsia" w:cstheme="majorBidi" w:hint="default"/>
      </w:rPr>
    </w:lvl>
    <w:lvl w:ilvl="1">
      <w:start w:val="6"/>
      <w:numFmt w:val="decimal"/>
      <w:lvlText w:val="%1.%2."/>
      <w:lvlJc w:val="left"/>
      <w:pPr>
        <w:ind w:left="360" w:hanging="360"/>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1" w15:restartNumberingAfterBreak="0">
    <w:nsid w:val="06E22FC6"/>
    <w:multiLevelType w:val="multilevel"/>
    <w:tmpl w:val="F072C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E02D72"/>
    <w:multiLevelType w:val="multilevel"/>
    <w:tmpl w:val="B9405358"/>
    <w:lvl w:ilvl="0">
      <w:start w:val="5"/>
      <w:numFmt w:val="decimal"/>
      <w:lvlText w:val="%1."/>
      <w:lvlJc w:val="left"/>
      <w:pPr>
        <w:ind w:left="360" w:hanging="360"/>
      </w:pPr>
      <w:rPr>
        <w:rFonts w:eastAsiaTheme="majorEastAsia" w:cstheme="majorBidi" w:hint="default"/>
      </w:rPr>
    </w:lvl>
    <w:lvl w:ilvl="1">
      <w:start w:val="6"/>
      <w:numFmt w:val="decimal"/>
      <w:lvlText w:val="%1.%2."/>
      <w:lvlJc w:val="left"/>
      <w:pPr>
        <w:ind w:left="360" w:hanging="360"/>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3" w15:restartNumberingAfterBreak="0">
    <w:nsid w:val="0D260A7C"/>
    <w:multiLevelType w:val="multilevel"/>
    <w:tmpl w:val="E3B88D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6B68ED"/>
    <w:multiLevelType w:val="hybridMultilevel"/>
    <w:tmpl w:val="4612B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1F76BF"/>
    <w:multiLevelType w:val="multilevel"/>
    <w:tmpl w:val="E6C49BFA"/>
    <w:lvl w:ilvl="0">
      <w:start w:val="1"/>
      <w:numFmt w:val="decimal"/>
      <w:lvlText w:val="%1."/>
      <w:lvlJc w:val="left"/>
      <w:pPr>
        <w:ind w:left="360" w:hanging="360"/>
      </w:pPr>
    </w:lvl>
    <w:lvl w:ilvl="1">
      <w:start w:val="1"/>
      <w:numFmt w:val="decimal"/>
      <w:pStyle w:val="Heading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A9202D"/>
    <w:multiLevelType w:val="multilevel"/>
    <w:tmpl w:val="0F381B50"/>
    <w:lvl w:ilvl="0">
      <w:start w:val="3"/>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2217BA3"/>
    <w:multiLevelType w:val="multilevel"/>
    <w:tmpl w:val="E3B88D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2D4A5F"/>
    <w:multiLevelType w:val="multilevel"/>
    <w:tmpl w:val="E3B88D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C2689F"/>
    <w:multiLevelType w:val="multilevel"/>
    <w:tmpl w:val="B55058A6"/>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94561A"/>
    <w:multiLevelType w:val="multilevel"/>
    <w:tmpl w:val="E3B88D2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C80D1B"/>
    <w:multiLevelType w:val="hybridMultilevel"/>
    <w:tmpl w:val="0B82D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17490E"/>
    <w:multiLevelType w:val="multilevel"/>
    <w:tmpl w:val="E3B88D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963BAA"/>
    <w:multiLevelType w:val="multilevel"/>
    <w:tmpl w:val="C270FFB6"/>
    <w:lvl w:ilvl="0">
      <w:start w:val="1"/>
      <w:numFmt w:val="decimal"/>
      <w:pStyle w:val="Heading1"/>
      <w:lvlText w:val="%1."/>
      <w:lvlJc w:val="left"/>
      <w:pPr>
        <w:ind w:left="502" w:hanging="360"/>
      </w:pPr>
    </w:lvl>
    <w:lvl w:ilvl="1">
      <w:start w:val="1"/>
      <w:numFmt w:val="decimal"/>
      <w:isLgl/>
      <w:lvlText w:val="%1.%2"/>
      <w:lvlJc w:val="left"/>
      <w:pPr>
        <w:ind w:left="502" w:hanging="720"/>
      </w:pPr>
      <w:rPr>
        <w:rFonts w:hint="default"/>
        <w:color w:val="C98711"/>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4" w15:restartNumberingAfterBreak="0">
    <w:nsid w:val="3BD51316"/>
    <w:multiLevelType w:val="hybridMultilevel"/>
    <w:tmpl w:val="C87265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1423428"/>
    <w:multiLevelType w:val="multilevel"/>
    <w:tmpl w:val="283E5224"/>
    <w:styleLink w:val="Style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73F77B1"/>
    <w:multiLevelType w:val="hybridMultilevel"/>
    <w:tmpl w:val="4CA27A2E"/>
    <w:lvl w:ilvl="0" w:tplc="A4B2E1BA">
      <w:numFmt w:val="bullet"/>
      <w:lvlText w:val="-"/>
      <w:lvlJc w:val="left"/>
      <w:pPr>
        <w:ind w:left="720" w:hanging="360"/>
      </w:pPr>
      <w:rPr>
        <w:rFonts w:ascii="Arial Narrow" w:eastAsia="Calibri"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5526CEA"/>
    <w:multiLevelType w:val="hybridMultilevel"/>
    <w:tmpl w:val="EBACC74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8335F0B"/>
    <w:multiLevelType w:val="hybridMultilevel"/>
    <w:tmpl w:val="FFFFFFFF"/>
    <w:lvl w:ilvl="0" w:tplc="C9A44DD8">
      <w:start w:val="1"/>
      <w:numFmt w:val="bullet"/>
      <w:lvlText w:val=""/>
      <w:lvlJc w:val="left"/>
      <w:pPr>
        <w:ind w:left="720" w:hanging="360"/>
      </w:pPr>
      <w:rPr>
        <w:rFonts w:ascii="Symbol" w:hAnsi="Symbol" w:hint="default"/>
      </w:rPr>
    </w:lvl>
    <w:lvl w:ilvl="1" w:tplc="B5F40884">
      <w:start w:val="1"/>
      <w:numFmt w:val="bullet"/>
      <w:lvlText w:val="o"/>
      <w:lvlJc w:val="left"/>
      <w:pPr>
        <w:ind w:left="1440" w:hanging="360"/>
      </w:pPr>
      <w:rPr>
        <w:rFonts w:ascii="Courier New" w:hAnsi="Courier New" w:hint="default"/>
      </w:rPr>
    </w:lvl>
    <w:lvl w:ilvl="2" w:tplc="198C75CE">
      <w:start w:val="1"/>
      <w:numFmt w:val="bullet"/>
      <w:lvlText w:val=""/>
      <w:lvlJc w:val="left"/>
      <w:pPr>
        <w:ind w:left="2160" w:hanging="360"/>
      </w:pPr>
      <w:rPr>
        <w:rFonts w:ascii="Wingdings" w:hAnsi="Wingdings" w:hint="default"/>
      </w:rPr>
    </w:lvl>
    <w:lvl w:ilvl="3" w:tplc="D92AD17E">
      <w:start w:val="1"/>
      <w:numFmt w:val="bullet"/>
      <w:lvlText w:val=""/>
      <w:lvlJc w:val="left"/>
      <w:pPr>
        <w:ind w:left="2880" w:hanging="360"/>
      </w:pPr>
      <w:rPr>
        <w:rFonts w:ascii="Symbol" w:hAnsi="Symbol" w:hint="default"/>
      </w:rPr>
    </w:lvl>
    <w:lvl w:ilvl="4" w:tplc="8D48A34E">
      <w:start w:val="1"/>
      <w:numFmt w:val="bullet"/>
      <w:lvlText w:val="o"/>
      <w:lvlJc w:val="left"/>
      <w:pPr>
        <w:ind w:left="3600" w:hanging="360"/>
      </w:pPr>
      <w:rPr>
        <w:rFonts w:ascii="Courier New" w:hAnsi="Courier New" w:hint="default"/>
      </w:rPr>
    </w:lvl>
    <w:lvl w:ilvl="5" w:tplc="71BE29E6">
      <w:start w:val="1"/>
      <w:numFmt w:val="bullet"/>
      <w:lvlText w:val=""/>
      <w:lvlJc w:val="left"/>
      <w:pPr>
        <w:ind w:left="4320" w:hanging="360"/>
      </w:pPr>
      <w:rPr>
        <w:rFonts w:ascii="Wingdings" w:hAnsi="Wingdings" w:hint="default"/>
      </w:rPr>
    </w:lvl>
    <w:lvl w:ilvl="6" w:tplc="B37C21DE">
      <w:start w:val="1"/>
      <w:numFmt w:val="bullet"/>
      <w:lvlText w:val=""/>
      <w:lvlJc w:val="left"/>
      <w:pPr>
        <w:ind w:left="5040" w:hanging="360"/>
      </w:pPr>
      <w:rPr>
        <w:rFonts w:ascii="Symbol" w:hAnsi="Symbol" w:hint="default"/>
      </w:rPr>
    </w:lvl>
    <w:lvl w:ilvl="7" w:tplc="994A15EE">
      <w:start w:val="1"/>
      <w:numFmt w:val="bullet"/>
      <w:lvlText w:val="o"/>
      <w:lvlJc w:val="left"/>
      <w:pPr>
        <w:ind w:left="5760" w:hanging="360"/>
      </w:pPr>
      <w:rPr>
        <w:rFonts w:ascii="Courier New" w:hAnsi="Courier New" w:hint="default"/>
      </w:rPr>
    </w:lvl>
    <w:lvl w:ilvl="8" w:tplc="BAD27E4A">
      <w:start w:val="1"/>
      <w:numFmt w:val="bullet"/>
      <w:lvlText w:val=""/>
      <w:lvlJc w:val="left"/>
      <w:pPr>
        <w:ind w:left="6480" w:hanging="360"/>
      </w:pPr>
      <w:rPr>
        <w:rFonts w:ascii="Wingdings" w:hAnsi="Wingdings" w:hint="default"/>
      </w:rPr>
    </w:lvl>
  </w:abstractNum>
  <w:abstractNum w:abstractNumId="19" w15:restartNumberingAfterBreak="0">
    <w:nsid w:val="5BC56594"/>
    <w:multiLevelType w:val="multilevel"/>
    <w:tmpl w:val="3C7816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8B7071"/>
    <w:multiLevelType w:val="multilevel"/>
    <w:tmpl w:val="1C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7792C98"/>
    <w:multiLevelType w:val="multilevel"/>
    <w:tmpl w:val="5E729A60"/>
    <w:styleLink w:val="Style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9C000EB"/>
    <w:multiLevelType w:val="multilevel"/>
    <w:tmpl w:val="5C9AD788"/>
    <w:lvl w:ilvl="0">
      <w:start w:val="1"/>
      <w:numFmt w:val="decimal"/>
      <w:lvlText w:val="%1."/>
      <w:lvlJc w:val="left"/>
      <w:pPr>
        <w:ind w:left="720" w:hanging="360"/>
      </w:pPr>
      <w:rPr>
        <w:rFonts w:hint="default"/>
        <w:color w:val="006600"/>
      </w:rPr>
    </w:lvl>
    <w:lvl w:ilvl="1">
      <w:start w:val="12"/>
      <w:numFmt w:val="decimal"/>
      <w:isLgl/>
      <w:lvlText w:val="%1.%2."/>
      <w:lvlJc w:val="left"/>
      <w:pPr>
        <w:ind w:left="980" w:hanging="6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CB61DF1"/>
    <w:multiLevelType w:val="multilevel"/>
    <w:tmpl w:val="D836162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9"/>
  </w:num>
  <w:num w:numId="3">
    <w:abstractNumId w:val="21"/>
  </w:num>
  <w:num w:numId="4">
    <w:abstractNumId w:val="15"/>
  </w:num>
  <w:num w:numId="5">
    <w:abstractNumId w:val="20"/>
  </w:num>
  <w:num w:numId="6">
    <w:abstractNumId w:val="6"/>
  </w:num>
  <w:num w:numId="7">
    <w:abstractNumId w:val="17"/>
  </w:num>
  <w:num w:numId="8">
    <w:abstractNumId w:val="5"/>
  </w:num>
  <w:num w:numId="9">
    <w:abstractNumId w:val="22"/>
  </w:num>
  <w:num w:numId="10">
    <w:abstractNumId w:val="5"/>
  </w:num>
  <w:num w:numId="11">
    <w:abstractNumId w:val="12"/>
  </w:num>
  <w:num w:numId="12">
    <w:abstractNumId w:val="5"/>
    <w:lvlOverride w:ilvl="0">
      <w:startOverride w:val="12"/>
    </w:lvlOverride>
    <w:lvlOverride w:ilvl="1">
      <w:startOverride w:val="13"/>
    </w:lvlOverride>
    <w:lvlOverride w:ilvl="2">
      <w:startOverride w:val="2"/>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num>
  <w:num w:numId="16">
    <w:abstractNumId w:val="14"/>
  </w:num>
  <w:num w:numId="17">
    <w:abstractNumId w:val="10"/>
  </w:num>
  <w:num w:numId="18">
    <w:abstractNumId w:val="8"/>
  </w:num>
  <w:num w:numId="19">
    <w:abstractNumId w:val="16"/>
  </w:num>
  <w:num w:numId="20">
    <w:abstractNumId w:val="2"/>
  </w:num>
  <w:num w:numId="21">
    <w:abstractNumId w:val="11"/>
  </w:num>
  <w:num w:numId="22">
    <w:abstractNumId w:val="4"/>
  </w:num>
  <w:num w:numId="23">
    <w:abstractNumId w:val="3"/>
  </w:num>
  <w:num w:numId="24">
    <w:abstractNumId w:val="1"/>
  </w:num>
  <w:num w:numId="25">
    <w:abstractNumId w:val="7"/>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A51"/>
    <w:rsid w:val="000018BE"/>
    <w:rsid w:val="000018C2"/>
    <w:rsid w:val="00001E95"/>
    <w:rsid w:val="00003D11"/>
    <w:rsid w:val="00004296"/>
    <w:rsid w:val="000054AB"/>
    <w:rsid w:val="00007561"/>
    <w:rsid w:val="00010BD9"/>
    <w:rsid w:val="00013790"/>
    <w:rsid w:val="00015E0F"/>
    <w:rsid w:val="00016A51"/>
    <w:rsid w:val="00020030"/>
    <w:rsid w:val="00020FDD"/>
    <w:rsid w:val="00021A63"/>
    <w:rsid w:val="000246CA"/>
    <w:rsid w:val="00024D70"/>
    <w:rsid w:val="00027CD5"/>
    <w:rsid w:val="00034C3F"/>
    <w:rsid w:val="0003724C"/>
    <w:rsid w:val="000373B1"/>
    <w:rsid w:val="00040FBE"/>
    <w:rsid w:val="000422C0"/>
    <w:rsid w:val="00042379"/>
    <w:rsid w:val="0004278D"/>
    <w:rsid w:val="00042880"/>
    <w:rsid w:val="00046B7D"/>
    <w:rsid w:val="00047EB0"/>
    <w:rsid w:val="0005087F"/>
    <w:rsid w:val="00050E7D"/>
    <w:rsid w:val="00051F58"/>
    <w:rsid w:val="000532A6"/>
    <w:rsid w:val="0005443F"/>
    <w:rsid w:val="00054B32"/>
    <w:rsid w:val="00055438"/>
    <w:rsid w:val="00055BD6"/>
    <w:rsid w:val="00065340"/>
    <w:rsid w:val="000670F3"/>
    <w:rsid w:val="000704A2"/>
    <w:rsid w:val="00070FB6"/>
    <w:rsid w:val="000752DC"/>
    <w:rsid w:val="00075463"/>
    <w:rsid w:val="000754CF"/>
    <w:rsid w:val="000764C8"/>
    <w:rsid w:val="00077C12"/>
    <w:rsid w:val="00081F45"/>
    <w:rsid w:val="000821A4"/>
    <w:rsid w:val="000826EE"/>
    <w:rsid w:val="000834A1"/>
    <w:rsid w:val="00085190"/>
    <w:rsid w:val="000863DA"/>
    <w:rsid w:val="00086572"/>
    <w:rsid w:val="000914EC"/>
    <w:rsid w:val="0009188D"/>
    <w:rsid w:val="00092C38"/>
    <w:rsid w:val="00092D94"/>
    <w:rsid w:val="00092F86"/>
    <w:rsid w:val="00094A6E"/>
    <w:rsid w:val="000957DF"/>
    <w:rsid w:val="000A2672"/>
    <w:rsid w:val="000A26F7"/>
    <w:rsid w:val="000A5D3A"/>
    <w:rsid w:val="000B5193"/>
    <w:rsid w:val="000B5563"/>
    <w:rsid w:val="000C165D"/>
    <w:rsid w:val="000C3F50"/>
    <w:rsid w:val="000C4AD4"/>
    <w:rsid w:val="000C68BA"/>
    <w:rsid w:val="000D3458"/>
    <w:rsid w:val="000D363E"/>
    <w:rsid w:val="000D3D71"/>
    <w:rsid w:val="000E0638"/>
    <w:rsid w:val="000E1932"/>
    <w:rsid w:val="000E2762"/>
    <w:rsid w:val="000E365A"/>
    <w:rsid w:val="000E5094"/>
    <w:rsid w:val="000E708B"/>
    <w:rsid w:val="000F213B"/>
    <w:rsid w:val="000F217C"/>
    <w:rsid w:val="000F225D"/>
    <w:rsid w:val="000F36B3"/>
    <w:rsid w:val="000F6111"/>
    <w:rsid w:val="000F688C"/>
    <w:rsid w:val="000F6D4C"/>
    <w:rsid w:val="000F7DA4"/>
    <w:rsid w:val="0010125D"/>
    <w:rsid w:val="00102982"/>
    <w:rsid w:val="001031CC"/>
    <w:rsid w:val="00103A7F"/>
    <w:rsid w:val="00103F0F"/>
    <w:rsid w:val="00105A44"/>
    <w:rsid w:val="001104AA"/>
    <w:rsid w:val="001135F2"/>
    <w:rsid w:val="001136E7"/>
    <w:rsid w:val="00113F9E"/>
    <w:rsid w:val="001142DD"/>
    <w:rsid w:val="001148AC"/>
    <w:rsid w:val="0011527C"/>
    <w:rsid w:val="001155B0"/>
    <w:rsid w:val="001159A4"/>
    <w:rsid w:val="0012067B"/>
    <w:rsid w:val="001246EE"/>
    <w:rsid w:val="00124D11"/>
    <w:rsid w:val="0012679B"/>
    <w:rsid w:val="00127E90"/>
    <w:rsid w:val="001347AE"/>
    <w:rsid w:val="00135EBA"/>
    <w:rsid w:val="001370ED"/>
    <w:rsid w:val="00141B48"/>
    <w:rsid w:val="00142A39"/>
    <w:rsid w:val="00154221"/>
    <w:rsid w:val="0016142E"/>
    <w:rsid w:val="00161F7F"/>
    <w:rsid w:val="00162F75"/>
    <w:rsid w:val="00164DBD"/>
    <w:rsid w:val="001710F3"/>
    <w:rsid w:val="0017277B"/>
    <w:rsid w:val="00173C0F"/>
    <w:rsid w:val="001747B8"/>
    <w:rsid w:val="001756FD"/>
    <w:rsid w:val="00175CAF"/>
    <w:rsid w:val="00175CCE"/>
    <w:rsid w:val="001814F6"/>
    <w:rsid w:val="00183881"/>
    <w:rsid w:val="00183E22"/>
    <w:rsid w:val="00184604"/>
    <w:rsid w:val="00184E6A"/>
    <w:rsid w:val="00185A63"/>
    <w:rsid w:val="00193A5D"/>
    <w:rsid w:val="001A0315"/>
    <w:rsid w:val="001B08E6"/>
    <w:rsid w:val="001C38A9"/>
    <w:rsid w:val="001C3FAB"/>
    <w:rsid w:val="001C42CC"/>
    <w:rsid w:val="001D0F40"/>
    <w:rsid w:val="001D1F97"/>
    <w:rsid w:val="001D21B0"/>
    <w:rsid w:val="001D47A7"/>
    <w:rsid w:val="001D6876"/>
    <w:rsid w:val="001E01DF"/>
    <w:rsid w:val="001E074C"/>
    <w:rsid w:val="001E1A2F"/>
    <w:rsid w:val="001E1CA3"/>
    <w:rsid w:val="001E45CE"/>
    <w:rsid w:val="001E715C"/>
    <w:rsid w:val="001F0389"/>
    <w:rsid w:val="001F1399"/>
    <w:rsid w:val="001F279B"/>
    <w:rsid w:val="001F3658"/>
    <w:rsid w:val="001F4EB9"/>
    <w:rsid w:val="001F53E8"/>
    <w:rsid w:val="00200D71"/>
    <w:rsid w:val="00201AE6"/>
    <w:rsid w:val="00206B49"/>
    <w:rsid w:val="002121A1"/>
    <w:rsid w:val="002126CB"/>
    <w:rsid w:val="00213861"/>
    <w:rsid w:val="002146BD"/>
    <w:rsid w:val="002169BE"/>
    <w:rsid w:val="002204B5"/>
    <w:rsid w:val="00221E3B"/>
    <w:rsid w:val="002243A7"/>
    <w:rsid w:val="00225E74"/>
    <w:rsid w:val="002277E0"/>
    <w:rsid w:val="0023068E"/>
    <w:rsid w:val="00231DA7"/>
    <w:rsid w:val="00232667"/>
    <w:rsid w:val="00232F96"/>
    <w:rsid w:val="00232FA2"/>
    <w:rsid w:val="00236E0D"/>
    <w:rsid w:val="00237695"/>
    <w:rsid w:val="00240C95"/>
    <w:rsid w:val="002411CF"/>
    <w:rsid w:val="0025742D"/>
    <w:rsid w:val="00257743"/>
    <w:rsid w:val="00257745"/>
    <w:rsid w:val="002609B8"/>
    <w:rsid w:val="00261D3C"/>
    <w:rsid w:val="0026348A"/>
    <w:rsid w:val="00265418"/>
    <w:rsid w:val="00266C7B"/>
    <w:rsid w:val="00270C9B"/>
    <w:rsid w:val="00272423"/>
    <w:rsid w:val="002762C7"/>
    <w:rsid w:val="0027735E"/>
    <w:rsid w:val="00283301"/>
    <w:rsid w:val="00283FB1"/>
    <w:rsid w:val="00284904"/>
    <w:rsid w:val="002861D0"/>
    <w:rsid w:val="00287AF1"/>
    <w:rsid w:val="0029058E"/>
    <w:rsid w:val="00291651"/>
    <w:rsid w:val="00294461"/>
    <w:rsid w:val="00294BD3"/>
    <w:rsid w:val="00296093"/>
    <w:rsid w:val="002969A8"/>
    <w:rsid w:val="0029786A"/>
    <w:rsid w:val="00297BEA"/>
    <w:rsid w:val="002A0CE4"/>
    <w:rsid w:val="002A296B"/>
    <w:rsid w:val="002A2BC4"/>
    <w:rsid w:val="002A2FE9"/>
    <w:rsid w:val="002A3694"/>
    <w:rsid w:val="002A3D8F"/>
    <w:rsid w:val="002B050E"/>
    <w:rsid w:val="002B1327"/>
    <w:rsid w:val="002B268C"/>
    <w:rsid w:val="002B2FE3"/>
    <w:rsid w:val="002B47E0"/>
    <w:rsid w:val="002B5581"/>
    <w:rsid w:val="002B5FC9"/>
    <w:rsid w:val="002B6949"/>
    <w:rsid w:val="002C03B8"/>
    <w:rsid w:val="002C3DB1"/>
    <w:rsid w:val="002C6EB1"/>
    <w:rsid w:val="002D0494"/>
    <w:rsid w:val="002D291A"/>
    <w:rsid w:val="002D7990"/>
    <w:rsid w:val="002E4B97"/>
    <w:rsid w:val="002E5094"/>
    <w:rsid w:val="002E785D"/>
    <w:rsid w:val="002F0B44"/>
    <w:rsid w:val="002F0E86"/>
    <w:rsid w:val="002F2E54"/>
    <w:rsid w:val="003030B6"/>
    <w:rsid w:val="00303404"/>
    <w:rsid w:val="00303AFB"/>
    <w:rsid w:val="00305E05"/>
    <w:rsid w:val="003069A2"/>
    <w:rsid w:val="003112C7"/>
    <w:rsid w:val="003117C5"/>
    <w:rsid w:val="003156B0"/>
    <w:rsid w:val="00317CD3"/>
    <w:rsid w:val="00320ECE"/>
    <w:rsid w:val="0032246A"/>
    <w:rsid w:val="00322CF5"/>
    <w:rsid w:val="00323670"/>
    <w:rsid w:val="0032427C"/>
    <w:rsid w:val="0032459D"/>
    <w:rsid w:val="003252EC"/>
    <w:rsid w:val="0032784D"/>
    <w:rsid w:val="00327F84"/>
    <w:rsid w:val="00333E86"/>
    <w:rsid w:val="003415E5"/>
    <w:rsid w:val="0034163F"/>
    <w:rsid w:val="00344A4E"/>
    <w:rsid w:val="00345AF4"/>
    <w:rsid w:val="00346CD4"/>
    <w:rsid w:val="00346DFE"/>
    <w:rsid w:val="00350852"/>
    <w:rsid w:val="00352309"/>
    <w:rsid w:val="003528E7"/>
    <w:rsid w:val="00353EBD"/>
    <w:rsid w:val="003543EC"/>
    <w:rsid w:val="003554B7"/>
    <w:rsid w:val="00356FF1"/>
    <w:rsid w:val="00360646"/>
    <w:rsid w:val="00360A2B"/>
    <w:rsid w:val="00360CF0"/>
    <w:rsid w:val="00361BDB"/>
    <w:rsid w:val="00365BEC"/>
    <w:rsid w:val="00366631"/>
    <w:rsid w:val="00372AEA"/>
    <w:rsid w:val="00373653"/>
    <w:rsid w:val="00375696"/>
    <w:rsid w:val="00375935"/>
    <w:rsid w:val="00376166"/>
    <w:rsid w:val="00380916"/>
    <w:rsid w:val="003809F3"/>
    <w:rsid w:val="003815CB"/>
    <w:rsid w:val="0038448C"/>
    <w:rsid w:val="003865F4"/>
    <w:rsid w:val="00386EC5"/>
    <w:rsid w:val="00387A11"/>
    <w:rsid w:val="00387D8B"/>
    <w:rsid w:val="00387F03"/>
    <w:rsid w:val="00390669"/>
    <w:rsid w:val="00390916"/>
    <w:rsid w:val="00391A35"/>
    <w:rsid w:val="00392926"/>
    <w:rsid w:val="00393E91"/>
    <w:rsid w:val="00394BB8"/>
    <w:rsid w:val="00397B5A"/>
    <w:rsid w:val="003A0B28"/>
    <w:rsid w:val="003A1064"/>
    <w:rsid w:val="003A370C"/>
    <w:rsid w:val="003A683C"/>
    <w:rsid w:val="003B2944"/>
    <w:rsid w:val="003B3461"/>
    <w:rsid w:val="003B7192"/>
    <w:rsid w:val="003B75F3"/>
    <w:rsid w:val="003C00FA"/>
    <w:rsid w:val="003C0D1B"/>
    <w:rsid w:val="003C1F73"/>
    <w:rsid w:val="003C31D4"/>
    <w:rsid w:val="003C4012"/>
    <w:rsid w:val="003C4138"/>
    <w:rsid w:val="003D1DAA"/>
    <w:rsid w:val="003D3CFF"/>
    <w:rsid w:val="003D5FF7"/>
    <w:rsid w:val="003D65EB"/>
    <w:rsid w:val="003D7DB8"/>
    <w:rsid w:val="003E0635"/>
    <w:rsid w:val="003E32C6"/>
    <w:rsid w:val="003E3F74"/>
    <w:rsid w:val="003F0FBE"/>
    <w:rsid w:val="003F12A6"/>
    <w:rsid w:val="003F2E41"/>
    <w:rsid w:val="003F452B"/>
    <w:rsid w:val="003F452E"/>
    <w:rsid w:val="004015DD"/>
    <w:rsid w:val="00402530"/>
    <w:rsid w:val="004032D9"/>
    <w:rsid w:val="00404473"/>
    <w:rsid w:val="00407744"/>
    <w:rsid w:val="004111F3"/>
    <w:rsid w:val="004114E9"/>
    <w:rsid w:val="00411A46"/>
    <w:rsid w:val="004136D9"/>
    <w:rsid w:val="004141A7"/>
    <w:rsid w:val="004145F1"/>
    <w:rsid w:val="00415D1D"/>
    <w:rsid w:val="004168A0"/>
    <w:rsid w:val="00420D56"/>
    <w:rsid w:val="00421AA5"/>
    <w:rsid w:val="00425875"/>
    <w:rsid w:val="00426201"/>
    <w:rsid w:val="004272D5"/>
    <w:rsid w:val="0043152F"/>
    <w:rsid w:val="004355B6"/>
    <w:rsid w:val="004446D2"/>
    <w:rsid w:val="004478EE"/>
    <w:rsid w:val="004600BD"/>
    <w:rsid w:val="00461ACD"/>
    <w:rsid w:val="00462B88"/>
    <w:rsid w:val="00466AC7"/>
    <w:rsid w:val="004718EB"/>
    <w:rsid w:val="004729C5"/>
    <w:rsid w:val="004745E3"/>
    <w:rsid w:val="00474BF7"/>
    <w:rsid w:val="0047588D"/>
    <w:rsid w:val="00477C49"/>
    <w:rsid w:val="004813B5"/>
    <w:rsid w:val="004833D8"/>
    <w:rsid w:val="00483F19"/>
    <w:rsid w:val="00486C00"/>
    <w:rsid w:val="00487070"/>
    <w:rsid w:val="00492169"/>
    <w:rsid w:val="004945F1"/>
    <w:rsid w:val="00494E5F"/>
    <w:rsid w:val="00495090"/>
    <w:rsid w:val="00496180"/>
    <w:rsid w:val="004966A1"/>
    <w:rsid w:val="004A0ED5"/>
    <w:rsid w:val="004A1E0A"/>
    <w:rsid w:val="004A2025"/>
    <w:rsid w:val="004A6C5F"/>
    <w:rsid w:val="004A707E"/>
    <w:rsid w:val="004AFD86"/>
    <w:rsid w:val="004B2148"/>
    <w:rsid w:val="004B2CC7"/>
    <w:rsid w:val="004B4938"/>
    <w:rsid w:val="004B7208"/>
    <w:rsid w:val="004C313B"/>
    <w:rsid w:val="004C33DD"/>
    <w:rsid w:val="004C3920"/>
    <w:rsid w:val="004C3B03"/>
    <w:rsid w:val="004D0026"/>
    <w:rsid w:val="004D261D"/>
    <w:rsid w:val="004D6499"/>
    <w:rsid w:val="004D64C1"/>
    <w:rsid w:val="004D7587"/>
    <w:rsid w:val="004E3DD7"/>
    <w:rsid w:val="004E5F92"/>
    <w:rsid w:val="004E680A"/>
    <w:rsid w:val="004E7C8B"/>
    <w:rsid w:val="004F39C6"/>
    <w:rsid w:val="00501067"/>
    <w:rsid w:val="00502229"/>
    <w:rsid w:val="00503873"/>
    <w:rsid w:val="00507B2E"/>
    <w:rsid w:val="00510DB0"/>
    <w:rsid w:val="00512944"/>
    <w:rsid w:val="00516E1A"/>
    <w:rsid w:val="00517832"/>
    <w:rsid w:val="005179AB"/>
    <w:rsid w:val="00517B5B"/>
    <w:rsid w:val="00521C5F"/>
    <w:rsid w:val="00521F7A"/>
    <w:rsid w:val="00524CFE"/>
    <w:rsid w:val="00526678"/>
    <w:rsid w:val="0052682F"/>
    <w:rsid w:val="005273FC"/>
    <w:rsid w:val="00527C45"/>
    <w:rsid w:val="005340EF"/>
    <w:rsid w:val="0053430C"/>
    <w:rsid w:val="00537358"/>
    <w:rsid w:val="00541F0E"/>
    <w:rsid w:val="00542CE1"/>
    <w:rsid w:val="00550064"/>
    <w:rsid w:val="005501E1"/>
    <w:rsid w:val="00551D0B"/>
    <w:rsid w:val="00551E78"/>
    <w:rsid w:val="005543A8"/>
    <w:rsid w:val="00555681"/>
    <w:rsid w:val="00561196"/>
    <w:rsid w:val="005639BF"/>
    <w:rsid w:val="00566117"/>
    <w:rsid w:val="0056761F"/>
    <w:rsid w:val="00570BF8"/>
    <w:rsid w:val="00574C16"/>
    <w:rsid w:val="0057693C"/>
    <w:rsid w:val="00580700"/>
    <w:rsid w:val="00582259"/>
    <w:rsid w:val="005923F7"/>
    <w:rsid w:val="00595E45"/>
    <w:rsid w:val="00597943"/>
    <w:rsid w:val="005A0F50"/>
    <w:rsid w:val="005A1363"/>
    <w:rsid w:val="005A38D2"/>
    <w:rsid w:val="005A4D4A"/>
    <w:rsid w:val="005A612D"/>
    <w:rsid w:val="005B026B"/>
    <w:rsid w:val="005B3E94"/>
    <w:rsid w:val="005B5401"/>
    <w:rsid w:val="005B582D"/>
    <w:rsid w:val="005B5AC6"/>
    <w:rsid w:val="005B7741"/>
    <w:rsid w:val="005C235D"/>
    <w:rsid w:val="005C2D80"/>
    <w:rsid w:val="005C5084"/>
    <w:rsid w:val="005D04B5"/>
    <w:rsid w:val="005D0A27"/>
    <w:rsid w:val="005D10CB"/>
    <w:rsid w:val="005D3FE9"/>
    <w:rsid w:val="005D4A1C"/>
    <w:rsid w:val="005D6F55"/>
    <w:rsid w:val="005E07CB"/>
    <w:rsid w:val="005E6FED"/>
    <w:rsid w:val="005E7D7D"/>
    <w:rsid w:val="005F43D2"/>
    <w:rsid w:val="005F44AE"/>
    <w:rsid w:val="005F708F"/>
    <w:rsid w:val="00604340"/>
    <w:rsid w:val="00606211"/>
    <w:rsid w:val="00610ACF"/>
    <w:rsid w:val="00612372"/>
    <w:rsid w:val="0061552F"/>
    <w:rsid w:val="0062438F"/>
    <w:rsid w:val="00625456"/>
    <w:rsid w:val="0063219F"/>
    <w:rsid w:val="00632224"/>
    <w:rsid w:val="006357D7"/>
    <w:rsid w:val="00645E21"/>
    <w:rsid w:val="006465DA"/>
    <w:rsid w:val="0065085E"/>
    <w:rsid w:val="00651841"/>
    <w:rsid w:val="00651EA3"/>
    <w:rsid w:val="006524EE"/>
    <w:rsid w:val="00653407"/>
    <w:rsid w:val="00654D48"/>
    <w:rsid w:val="00660F3E"/>
    <w:rsid w:val="00661EAE"/>
    <w:rsid w:val="0066307B"/>
    <w:rsid w:val="00663FF4"/>
    <w:rsid w:val="00664655"/>
    <w:rsid w:val="00666258"/>
    <w:rsid w:val="00671FA6"/>
    <w:rsid w:val="00672584"/>
    <w:rsid w:val="00674C94"/>
    <w:rsid w:val="00675EA1"/>
    <w:rsid w:val="0067691D"/>
    <w:rsid w:val="00686C60"/>
    <w:rsid w:val="006908A8"/>
    <w:rsid w:val="00693276"/>
    <w:rsid w:val="00693483"/>
    <w:rsid w:val="0069452C"/>
    <w:rsid w:val="00696781"/>
    <w:rsid w:val="00697C1A"/>
    <w:rsid w:val="00697D62"/>
    <w:rsid w:val="006A0A96"/>
    <w:rsid w:val="006A15EB"/>
    <w:rsid w:val="006A3060"/>
    <w:rsid w:val="006A393C"/>
    <w:rsid w:val="006B16A0"/>
    <w:rsid w:val="006B20A4"/>
    <w:rsid w:val="006B2412"/>
    <w:rsid w:val="006B262E"/>
    <w:rsid w:val="006C1AED"/>
    <w:rsid w:val="006C3249"/>
    <w:rsid w:val="006C495F"/>
    <w:rsid w:val="006C6408"/>
    <w:rsid w:val="006D13B1"/>
    <w:rsid w:val="006D2C46"/>
    <w:rsid w:val="006D2DA9"/>
    <w:rsid w:val="006D33E1"/>
    <w:rsid w:val="006D3803"/>
    <w:rsid w:val="006D6994"/>
    <w:rsid w:val="006D71C3"/>
    <w:rsid w:val="006D742C"/>
    <w:rsid w:val="006D76E2"/>
    <w:rsid w:val="006D7A24"/>
    <w:rsid w:val="006E0BDB"/>
    <w:rsid w:val="006E3C19"/>
    <w:rsid w:val="006E3D7A"/>
    <w:rsid w:val="006E3F3F"/>
    <w:rsid w:val="006E5800"/>
    <w:rsid w:val="006F120F"/>
    <w:rsid w:val="006F3A17"/>
    <w:rsid w:val="006F542E"/>
    <w:rsid w:val="006F6357"/>
    <w:rsid w:val="006F7DA0"/>
    <w:rsid w:val="007015E7"/>
    <w:rsid w:val="007051E7"/>
    <w:rsid w:val="0070624F"/>
    <w:rsid w:val="007121DE"/>
    <w:rsid w:val="007172CA"/>
    <w:rsid w:val="00726DEC"/>
    <w:rsid w:val="00726FA1"/>
    <w:rsid w:val="0073013B"/>
    <w:rsid w:val="00732BF7"/>
    <w:rsid w:val="0073323E"/>
    <w:rsid w:val="00733782"/>
    <w:rsid w:val="00734BF6"/>
    <w:rsid w:val="00736C3D"/>
    <w:rsid w:val="00736DE0"/>
    <w:rsid w:val="00743033"/>
    <w:rsid w:val="00744E63"/>
    <w:rsid w:val="007451C8"/>
    <w:rsid w:val="00745994"/>
    <w:rsid w:val="0075370E"/>
    <w:rsid w:val="00757FDC"/>
    <w:rsid w:val="00760CAA"/>
    <w:rsid w:val="0076192E"/>
    <w:rsid w:val="0076407E"/>
    <w:rsid w:val="00765522"/>
    <w:rsid w:val="0076553A"/>
    <w:rsid w:val="0076671F"/>
    <w:rsid w:val="007669A8"/>
    <w:rsid w:val="00767F84"/>
    <w:rsid w:val="0077118F"/>
    <w:rsid w:val="0077253B"/>
    <w:rsid w:val="00772E76"/>
    <w:rsid w:val="00774830"/>
    <w:rsid w:val="00776081"/>
    <w:rsid w:val="007763E1"/>
    <w:rsid w:val="007808A3"/>
    <w:rsid w:val="00781F17"/>
    <w:rsid w:val="00784455"/>
    <w:rsid w:val="00785C5D"/>
    <w:rsid w:val="00791CC9"/>
    <w:rsid w:val="00792E44"/>
    <w:rsid w:val="00797AEF"/>
    <w:rsid w:val="007A0857"/>
    <w:rsid w:val="007A0955"/>
    <w:rsid w:val="007A2FDB"/>
    <w:rsid w:val="007B05A8"/>
    <w:rsid w:val="007B60A3"/>
    <w:rsid w:val="007B7496"/>
    <w:rsid w:val="007B76AE"/>
    <w:rsid w:val="007B77BB"/>
    <w:rsid w:val="007C3A11"/>
    <w:rsid w:val="007C493C"/>
    <w:rsid w:val="007C500E"/>
    <w:rsid w:val="007C65FA"/>
    <w:rsid w:val="007C6A07"/>
    <w:rsid w:val="007C6DF1"/>
    <w:rsid w:val="007C7D9A"/>
    <w:rsid w:val="007D0B16"/>
    <w:rsid w:val="007D1B80"/>
    <w:rsid w:val="007D2309"/>
    <w:rsid w:val="007D4947"/>
    <w:rsid w:val="007D5C6C"/>
    <w:rsid w:val="007D5D8D"/>
    <w:rsid w:val="007E0ADC"/>
    <w:rsid w:val="007E1BE1"/>
    <w:rsid w:val="007E5611"/>
    <w:rsid w:val="007E5A3F"/>
    <w:rsid w:val="007E6453"/>
    <w:rsid w:val="007F15CA"/>
    <w:rsid w:val="007F2859"/>
    <w:rsid w:val="007F3233"/>
    <w:rsid w:val="007F3660"/>
    <w:rsid w:val="007F7EEF"/>
    <w:rsid w:val="0080033E"/>
    <w:rsid w:val="00802DD8"/>
    <w:rsid w:val="00804C13"/>
    <w:rsid w:val="00805C56"/>
    <w:rsid w:val="00806B5A"/>
    <w:rsid w:val="00807446"/>
    <w:rsid w:val="0081159C"/>
    <w:rsid w:val="00812955"/>
    <w:rsid w:val="00812D6E"/>
    <w:rsid w:val="008141D5"/>
    <w:rsid w:val="00817785"/>
    <w:rsid w:val="00821260"/>
    <w:rsid w:val="0082269D"/>
    <w:rsid w:val="00823EDB"/>
    <w:rsid w:val="008244C9"/>
    <w:rsid w:val="00827DFC"/>
    <w:rsid w:val="00830CD3"/>
    <w:rsid w:val="00833352"/>
    <w:rsid w:val="00834076"/>
    <w:rsid w:val="00835327"/>
    <w:rsid w:val="00835E5B"/>
    <w:rsid w:val="00836D0B"/>
    <w:rsid w:val="008402FA"/>
    <w:rsid w:val="00842DF2"/>
    <w:rsid w:val="00843622"/>
    <w:rsid w:val="008438C7"/>
    <w:rsid w:val="0084406A"/>
    <w:rsid w:val="00845427"/>
    <w:rsid w:val="00846616"/>
    <w:rsid w:val="00850C1E"/>
    <w:rsid w:val="0085287E"/>
    <w:rsid w:val="00852F6E"/>
    <w:rsid w:val="00853757"/>
    <w:rsid w:val="008556F0"/>
    <w:rsid w:val="0085F5EA"/>
    <w:rsid w:val="00863191"/>
    <w:rsid w:val="00863DF1"/>
    <w:rsid w:val="00864366"/>
    <w:rsid w:val="008659FC"/>
    <w:rsid w:val="00867421"/>
    <w:rsid w:val="00874688"/>
    <w:rsid w:val="00874745"/>
    <w:rsid w:val="0087792B"/>
    <w:rsid w:val="0088096A"/>
    <w:rsid w:val="0088520A"/>
    <w:rsid w:val="008874A0"/>
    <w:rsid w:val="00892669"/>
    <w:rsid w:val="00892C71"/>
    <w:rsid w:val="00892D67"/>
    <w:rsid w:val="008931E4"/>
    <w:rsid w:val="008941F5"/>
    <w:rsid w:val="0089442C"/>
    <w:rsid w:val="00894EF4"/>
    <w:rsid w:val="008956A6"/>
    <w:rsid w:val="008965DB"/>
    <w:rsid w:val="008A0805"/>
    <w:rsid w:val="008A0950"/>
    <w:rsid w:val="008A3CA1"/>
    <w:rsid w:val="008A45D4"/>
    <w:rsid w:val="008A5834"/>
    <w:rsid w:val="008A6B4B"/>
    <w:rsid w:val="008A7282"/>
    <w:rsid w:val="008B1BF7"/>
    <w:rsid w:val="008B422D"/>
    <w:rsid w:val="008B4883"/>
    <w:rsid w:val="008B5348"/>
    <w:rsid w:val="008B7119"/>
    <w:rsid w:val="008B7506"/>
    <w:rsid w:val="008B7F6B"/>
    <w:rsid w:val="008C0615"/>
    <w:rsid w:val="008C12D2"/>
    <w:rsid w:val="008C1B45"/>
    <w:rsid w:val="008C760C"/>
    <w:rsid w:val="008C76F5"/>
    <w:rsid w:val="008D2196"/>
    <w:rsid w:val="008D4051"/>
    <w:rsid w:val="008D4E27"/>
    <w:rsid w:val="008D6FAB"/>
    <w:rsid w:val="008E076A"/>
    <w:rsid w:val="008E2EF7"/>
    <w:rsid w:val="008E33DF"/>
    <w:rsid w:val="008E36E5"/>
    <w:rsid w:val="008E44CB"/>
    <w:rsid w:val="008E71E6"/>
    <w:rsid w:val="008E7F6F"/>
    <w:rsid w:val="008F1642"/>
    <w:rsid w:val="008F5797"/>
    <w:rsid w:val="008F7CF2"/>
    <w:rsid w:val="00900BD3"/>
    <w:rsid w:val="00900D12"/>
    <w:rsid w:val="00902511"/>
    <w:rsid w:val="00906A5F"/>
    <w:rsid w:val="00906B97"/>
    <w:rsid w:val="00906D23"/>
    <w:rsid w:val="00907B1A"/>
    <w:rsid w:val="00910714"/>
    <w:rsid w:val="00912553"/>
    <w:rsid w:val="009125EF"/>
    <w:rsid w:val="00912AF8"/>
    <w:rsid w:val="00915109"/>
    <w:rsid w:val="009165AD"/>
    <w:rsid w:val="0092241A"/>
    <w:rsid w:val="00922561"/>
    <w:rsid w:val="009228A0"/>
    <w:rsid w:val="00924BBD"/>
    <w:rsid w:val="009253BB"/>
    <w:rsid w:val="00926D98"/>
    <w:rsid w:val="009273A9"/>
    <w:rsid w:val="00932290"/>
    <w:rsid w:val="00933A45"/>
    <w:rsid w:val="009361CF"/>
    <w:rsid w:val="009369CA"/>
    <w:rsid w:val="00940450"/>
    <w:rsid w:val="009409FB"/>
    <w:rsid w:val="00940F69"/>
    <w:rsid w:val="009415B9"/>
    <w:rsid w:val="00945D4E"/>
    <w:rsid w:val="00946BDC"/>
    <w:rsid w:val="00950617"/>
    <w:rsid w:val="0095459A"/>
    <w:rsid w:val="00954941"/>
    <w:rsid w:val="00954BD5"/>
    <w:rsid w:val="00955DF6"/>
    <w:rsid w:val="009612D4"/>
    <w:rsid w:val="00961DCE"/>
    <w:rsid w:val="0096449B"/>
    <w:rsid w:val="00967F68"/>
    <w:rsid w:val="00971B95"/>
    <w:rsid w:val="00971D81"/>
    <w:rsid w:val="00971D99"/>
    <w:rsid w:val="009733BD"/>
    <w:rsid w:val="0097644D"/>
    <w:rsid w:val="009773FE"/>
    <w:rsid w:val="009812D4"/>
    <w:rsid w:val="00982434"/>
    <w:rsid w:val="00984F03"/>
    <w:rsid w:val="00985B48"/>
    <w:rsid w:val="009932CB"/>
    <w:rsid w:val="00993301"/>
    <w:rsid w:val="009949C6"/>
    <w:rsid w:val="009949F6"/>
    <w:rsid w:val="009955C9"/>
    <w:rsid w:val="00997844"/>
    <w:rsid w:val="0099798B"/>
    <w:rsid w:val="009A2D09"/>
    <w:rsid w:val="009A41A2"/>
    <w:rsid w:val="009A4F94"/>
    <w:rsid w:val="009B16AF"/>
    <w:rsid w:val="009B3A08"/>
    <w:rsid w:val="009B486A"/>
    <w:rsid w:val="009C2A32"/>
    <w:rsid w:val="009C5663"/>
    <w:rsid w:val="009C6812"/>
    <w:rsid w:val="009D041C"/>
    <w:rsid w:val="009D08FD"/>
    <w:rsid w:val="009D0AFE"/>
    <w:rsid w:val="009D0D7E"/>
    <w:rsid w:val="009D1779"/>
    <w:rsid w:val="009D218D"/>
    <w:rsid w:val="009D21A3"/>
    <w:rsid w:val="009D53CA"/>
    <w:rsid w:val="009D56E9"/>
    <w:rsid w:val="009D6E60"/>
    <w:rsid w:val="009E04A1"/>
    <w:rsid w:val="009E1F42"/>
    <w:rsid w:val="009E2F9D"/>
    <w:rsid w:val="009E3DFB"/>
    <w:rsid w:val="009E549F"/>
    <w:rsid w:val="009F1F4B"/>
    <w:rsid w:val="009F2947"/>
    <w:rsid w:val="009F2E96"/>
    <w:rsid w:val="009F3081"/>
    <w:rsid w:val="009F471A"/>
    <w:rsid w:val="00A02126"/>
    <w:rsid w:val="00A02DEB"/>
    <w:rsid w:val="00A078FB"/>
    <w:rsid w:val="00A165A8"/>
    <w:rsid w:val="00A20557"/>
    <w:rsid w:val="00A2060D"/>
    <w:rsid w:val="00A20C92"/>
    <w:rsid w:val="00A22C72"/>
    <w:rsid w:val="00A23E1D"/>
    <w:rsid w:val="00A251C0"/>
    <w:rsid w:val="00A259A5"/>
    <w:rsid w:val="00A2639D"/>
    <w:rsid w:val="00A26CA9"/>
    <w:rsid w:val="00A30496"/>
    <w:rsid w:val="00A30672"/>
    <w:rsid w:val="00A31209"/>
    <w:rsid w:val="00A3342D"/>
    <w:rsid w:val="00A359C9"/>
    <w:rsid w:val="00A36EB8"/>
    <w:rsid w:val="00A37201"/>
    <w:rsid w:val="00A421EA"/>
    <w:rsid w:val="00A422FC"/>
    <w:rsid w:val="00A435FC"/>
    <w:rsid w:val="00A43B5C"/>
    <w:rsid w:val="00A47BE6"/>
    <w:rsid w:val="00A53DC4"/>
    <w:rsid w:val="00A5416C"/>
    <w:rsid w:val="00A5508C"/>
    <w:rsid w:val="00A554D4"/>
    <w:rsid w:val="00A63A96"/>
    <w:rsid w:val="00A64068"/>
    <w:rsid w:val="00A649B0"/>
    <w:rsid w:val="00A64E92"/>
    <w:rsid w:val="00A66BBB"/>
    <w:rsid w:val="00A70708"/>
    <w:rsid w:val="00A72932"/>
    <w:rsid w:val="00A72EDE"/>
    <w:rsid w:val="00A750DF"/>
    <w:rsid w:val="00A80386"/>
    <w:rsid w:val="00A810B7"/>
    <w:rsid w:val="00A83B2B"/>
    <w:rsid w:val="00A86054"/>
    <w:rsid w:val="00A866EE"/>
    <w:rsid w:val="00A87862"/>
    <w:rsid w:val="00A90C4E"/>
    <w:rsid w:val="00A918C3"/>
    <w:rsid w:val="00A92C76"/>
    <w:rsid w:val="00A9345E"/>
    <w:rsid w:val="00A93E20"/>
    <w:rsid w:val="00A94429"/>
    <w:rsid w:val="00A96338"/>
    <w:rsid w:val="00A97173"/>
    <w:rsid w:val="00A97D01"/>
    <w:rsid w:val="00A97E91"/>
    <w:rsid w:val="00AA29F3"/>
    <w:rsid w:val="00AA4055"/>
    <w:rsid w:val="00AA4B39"/>
    <w:rsid w:val="00AA4B90"/>
    <w:rsid w:val="00AA61CA"/>
    <w:rsid w:val="00AB02F2"/>
    <w:rsid w:val="00AB1411"/>
    <w:rsid w:val="00AB2951"/>
    <w:rsid w:val="00AB6784"/>
    <w:rsid w:val="00AB7567"/>
    <w:rsid w:val="00AB7B52"/>
    <w:rsid w:val="00AC41DB"/>
    <w:rsid w:val="00AC4E77"/>
    <w:rsid w:val="00AC6369"/>
    <w:rsid w:val="00AD188D"/>
    <w:rsid w:val="00AD1FAE"/>
    <w:rsid w:val="00AD23C1"/>
    <w:rsid w:val="00AD61AA"/>
    <w:rsid w:val="00AD6FEC"/>
    <w:rsid w:val="00AE0E7D"/>
    <w:rsid w:val="00AE130A"/>
    <w:rsid w:val="00AE241F"/>
    <w:rsid w:val="00AE2E13"/>
    <w:rsid w:val="00AE6E7C"/>
    <w:rsid w:val="00AE7249"/>
    <w:rsid w:val="00AF5C1D"/>
    <w:rsid w:val="00AF6F80"/>
    <w:rsid w:val="00B0234E"/>
    <w:rsid w:val="00B04BAB"/>
    <w:rsid w:val="00B07993"/>
    <w:rsid w:val="00B10A0B"/>
    <w:rsid w:val="00B14464"/>
    <w:rsid w:val="00B178FA"/>
    <w:rsid w:val="00B20923"/>
    <w:rsid w:val="00B210C1"/>
    <w:rsid w:val="00B219EC"/>
    <w:rsid w:val="00B21FA7"/>
    <w:rsid w:val="00B22A44"/>
    <w:rsid w:val="00B23485"/>
    <w:rsid w:val="00B358FA"/>
    <w:rsid w:val="00B362AA"/>
    <w:rsid w:val="00B36744"/>
    <w:rsid w:val="00B367B2"/>
    <w:rsid w:val="00B3747F"/>
    <w:rsid w:val="00B4073F"/>
    <w:rsid w:val="00B411C5"/>
    <w:rsid w:val="00B4123F"/>
    <w:rsid w:val="00B42DC4"/>
    <w:rsid w:val="00B43807"/>
    <w:rsid w:val="00B451A6"/>
    <w:rsid w:val="00B4732C"/>
    <w:rsid w:val="00B50902"/>
    <w:rsid w:val="00B51285"/>
    <w:rsid w:val="00B54C27"/>
    <w:rsid w:val="00B54CA0"/>
    <w:rsid w:val="00B57204"/>
    <w:rsid w:val="00B57F0C"/>
    <w:rsid w:val="00B633C8"/>
    <w:rsid w:val="00B666B6"/>
    <w:rsid w:val="00B66790"/>
    <w:rsid w:val="00B674C0"/>
    <w:rsid w:val="00B70797"/>
    <w:rsid w:val="00B7084A"/>
    <w:rsid w:val="00B71320"/>
    <w:rsid w:val="00B71B20"/>
    <w:rsid w:val="00B73562"/>
    <w:rsid w:val="00B77B20"/>
    <w:rsid w:val="00B77CC8"/>
    <w:rsid w:val="00B802AE"/>
    <w:rsid w:val="00B851A6"/>
    <w:rsid w:val="00B85482"/>
    <w:rsid w:val="00B855AD"/>
    <w:rsid w:val="00B858EC"/>
    <w:rsid w:val="00B967B9"/>
    <w:rsid w:val="00B97598"/>
    <w:rsid w:val="00BA36CC"/>
    <w:rsid w:val="00BA5A5D"/>
    <w:rsid w:val="00BA61F9"/>
    <w:rsid w:val="00BB3360"/>
    <w:rsid w:val="00BB45CA"/>
    <w:rsid w:val="00BB48BB"/>
    <w:rsid w:val="00BC09E5"/>
    <w:rsid w:val="00BC6E51"/>
    <w:rsid w:val="00BC7763"/>
    <w:rsid w:val="00BD1781"/>
    <w:rsid w:val="00BD31C2"/>
    <w:rsid w:val="00BD5470"/>
    <w:rsid w:val="00BD7FD7"/>
    <w:rsid w:val="00BE0AEA"/>
    <w:rsid w:val="00BE0D16"/>
    <w:rsid w:val="00BE1F15"/>
    <w:rsid w:val="00BE1FA7"/>
    <w:rsid w:val="00BE3477"/>
    <w:rsid w:val="00BE375B"/>
    <w:rsid w:val="00BE376C"/>
    <w:rsid w:val="00BE4401"/>
    <w:rsid w:val="00BE50FF"/>
    <w:rsid w:val="00BE5966"/>
    <w:rsid w:val="00BE5C3A"/>
    <w:rsid w:val="00BE65F9"/>
    <w:rsid w:val="00BE76DC"/>
    <w:rsid w:val="00BF1FBE"/>
    <w:rsid w:val="00BF5664"/>
    <w:rsid w:val="00BF770F"/>
    <w:rsid w:val="00C032B3"/>
    <w:rsid w:val="00C06D2E"/>
    <w:rsid w:val="00C071D1"/>
    <w:rsid w:val="00C106B0"/>
    <w:rsid w:val="00C12A18"/>
    <w:rsid w:val="00C15D02"/>
    <w:rsid w:val="00C17608"/>
    <w:rsid w:val="00C17F33"/>
    <w:rsid w:val="00C220F4"/>
    <w:rsid w:val="00C23275"/>
    <w:rsid w:val="00C2356D"/>
    <w:rsid w:val="00C24F8B"/>
    <w:rsid w:val="00C25B63"/>
    <w:rsid w:val="00C269EB"/>
    <w:rsid w:val="00C313F6"/>
    <w:rsid w:val="00C3140C"/>
    <w:rsid w:val="00C33377"/>
    <w:rsid w:val="00C35057"/>
    <w:rsid w:val="00C369AB"/>
    <w:rsid w:val="00C36F0C"/>
    <w:rsid w:val="00C40400"/>
    <w:rsid w:val="00C43772"/>
    <w:rsid w:val="00C4399B"/>
    <w:rsid w:val="00C43A9F"/>
    <w:rsid w:val="00C45F93"/>
    <w:rsid w:val="00C460D0"/>
    <w:rsid w:val="00C46184"/>
    <w:rsid w:val="00C4733C"/>
    <w:rsid w:val="00C50E48"/>
    <w:rsid w:val="00C5379E"/>
    <w:rsid w:val="00C64A6A"/>
    <w:rsid w:val="00C65C2E"/>
    <w:rsid w:val="00C6660B"/>
    <w:rsid w:val="00C674E9"/>
    <w:rsid w:val="00C6775D"/>
    <w:rsid w:val="00C7500B"/>
    <w:rsid w:val="00C75F77"/>
    <w:rsid w:val="00C815A7"/>
    <w:rsid w:val="00C84E19"/>
    <w:rsid w:val="00C85525"/>
    <w:rsid w:val="00C85C02"/>
    <w:rsid w:val="00C862A1"/>
    <w:rsid w:val="00CA0EF8"/>
    <w:rsid w:val="00CA5B64"/>
    <w:rsid w:val="00CA6D70"/>
    <w:rsid w:val="00CA736D"/>
    <w:rsid w:val="00CB2C92"/>
    <w:rsid w:val="00CB3444"/>
    <w:rsid w:val="00CB3735"/>
    <w:rsid w:val="00CB38A6"/>
    <w:rsid w:val="00CB69C9"/>
    <w:rsid w:val="00CB7280"/>
    <w:rsid w:val="00CC04D5"/>
    <w:rsid w:val="00CC134F"/>
    <w:rsid w:val="00CC1C7D"/>
    <w:rsid w:val="00CC3C59"/>
    <w:rsid w:val="00CC3ED9"/>
    <w:rsid w:val="00CC411D"/>
    <w:rsid w:val="00CC5D6E"/>
    <w:rsid w:val="00CC6403"/>
    <w:rsid w:val="00CC6DDD"/>
    <w:rsid w:val="00CD2962"/>
    <w:rsid w:val="00CD484E"/>
    <w:rsid w:val="00CD7C61"/>
    <w:rsid w:val="00CE20B8"/>
    <w:rsid w:val="00CE6274"/>
    <w:rsid w:val="00CE62AA"/>
    <w:rsid w:val="00CE6662"/>
    <w:rsid w:val="00CE6D48"/>
    <w:rsid w:val="00CF1BAD"/>
    <w:rsid w:val="00CF30CE"/>
    <w:rsid w:val="00CF6C85"/>
    <w:rsid w:val="00CF7C4E"/>
    <w:rsid w:val="00CF7F54"/>
    <w:rsid w:val="00CF7FBF"/>
    <w:rsid w:val="00D013A2"/>
    <w:rsid w:val="00D03896"/>
    <w:rsid w:val="00D03A49"/>
    <w:rsid w:val="00D04CC4"/>
    <w:rsid w:val="00D07BED"/>
    <w:rsid w:val="00D105E8"/>
    <w:rsid w:val="00D12DBA"/>
    <w:rsid w:val="00D138C1"/>
    <w:rsid w:val="00D14E27"/>
    <w:rsid w:val="00D150F9"/>
    <w:rsid w:val="00D154AD"/>
    <w:rsid w:val="00D17BCE"/>
    <w:rsid w:val="00D20A02"/>
    <w:rsid w:val="00D20E70"/>
    <w:rsid w:val="00D23B37"/>
    <w:rsid w:val="00D27A54"/>
    <w:rsid w:val="00D325D7"/>
    <w:rsid w:val="00D3287A"/>
    <w:rsid w:val="00D332BC"/>
    <w:rsid w:val="00D37851"/>
    <w:rsid w:val="00D408BF"/>
    <w:rsid w:val="00D42405"/>
    <w:rsid w:val="00D42E3F"/>
    <w:rsid w:val="00D430CD"/>
    <w:rsid w:val="00D444B8"/>
    <w:rsid w:val="00D454EF"/>
    <w:rsid w:val="00D462D5"/>
    <w:rsid w:val="00D52173"/>
    <w:rsid w:val="00D525FF"/>
    <w:rsid w:val="00D52EC8"/>
    <w:rsid w:val="00D642FE"/>
    <w:rsid w:val="00D65564"/>
    <w:rsid w:val="00D66121"/>
    <w:rsid w:val="00D67049"/>
    <w:rsid w:val="00D708FB"/>
    <w:rsid w:val="00D71DBC"/>
    <w:rsid w:val="00D768EA"/>
    <w:rsid w:val="00D778C7"/>
    <w:rsid w:val="00D77EC6"/>
    <w:rsid w:val="00D832B9"/>
    <w:rsid w:val="00D93528"/>
    <w:rsid w:val="00D96D40"/>
    <w:rsid w:val="00DA742B"/>
    <w:rsid w:val="00DB1858"/>
    <w:rsid w:val="00DB4595"/>
    <w:rsid w:val="00DB57F1"/>
    <w:rsid w:val="00DB702A"/>
    <w:rsid w:val="00DB70CA"/>
    <w:rsid w:val="00DB747C"/>
    <w:rsid w:val="00DC212A"/>
    <w:rsid w:val="00DC58FC"/>
    <w:rsid w:val="00DC6454"/>
    <w:rsid w:val="00DD1C86"/>
    <w:rsid w:val="00DD2E30"/>
    <w:rsid w:val="00DD41EE"/>
    <w:rsid w:val="00DD63DD"/>
    <w:rsid w:val="00DD6EEF"/>
    <w:rsid w:val="00DE388F"/>
    <w:rsid w:val="00DE4CBF"/>
    <w:rsid w:val="00DE5BB1"/>
    <w:rsid w:val="00DE7A5E"/>
    <w:rsid w:val="00DE7E47"/>
    <w:rsid w:val="00DF0009"/>
    <w:rsid w:val="00DF0D0C"/>
    <w:rsid w:val="00DF2D70"/>
    <w:rsid w:val="00DF4A0C"/>
    <w:rsid w:val="00DF66D0"/>
    <w:rsid w:val="00E00A35"/>
    <w:rsid w:val="00E01DFC"/>
    <w:rsid w:val="00E038F3"/>
    <w:rsid w:val="00E04D7D"/>
    <w:rsid w:val="00E05D08"/>
    <w:rsid w:val="00E0676A"/>
    <w:rsid w:val="00E14A12"/>
    <w:rsid w:val="00E14CD8"/>
    <w:rsid w:val="00E20D98"/>
    <w:rsid w:val="00E24753"/>
    <w:rsid w:val="00E25326"/>
    <w:rsid w:val="00E255CF"/>
    <w:rsid w:val="00E27245"/>
    <w:rsid w:val="00E275BE"/>
    <w:rsid w:val="00E303EC"/>
    <w:rsid w:val="00E30CF5"/>
    <w:rsid w:val="00E31587"/>
    <w:rsid w:val="00E31933"/>
    <w:rsid w:val="00E32670"/>
    <w:rsid w:val="00E3386D"/>
    <w:rsid w:val="00E34A17"/>
    <w:rsid w:val="00E3533A"/>
    <w:rsid w:val="00E35608"/>
    <w:rsid w:val="00E40BFC"/>
    <w:rsid w:val="00E40FBB"/>
    <w:rsid w:val="00E443AC"/>
    <w:rsid w:val="00E46664"/>
    <w:rsid w:val="00E46EA6"/>
    <w:rsid w:val="00E47D1E"/>
    <w:rsid w:val="00E50927"/>
    <w:rsid w:val="00E51344"/>
    <w:rsid w:val="00E519B9"/>
    <w:rsid w:val="00E56EEC"/>
    <w:rsid w:val="00E57831"/>
    <w:rsid w:val="00E608F7"/>
    <w:rsid w:val="00E62E07"/>
    <w:rsid w:val="00E679C1"/>
    <w:rsid w:val="00E70B30"/>
    <w:rsid w:val="00E75A57"/>
    <w:rsid w:val="00E77245"/>
    <w:rsid w:val="00E804F2"/>
    <w:rsid w:val="00E80B5D"/>
    <w:rsid w:val="00E81AB3"/>
    <w:rsid w:val="00E830A4"/>
    <w:rsid w:val="00E844C4"/>
    <w:rsid w:val="00E849AC"/>
    <w:rsid w:val="00E85FC5"/>
    <w:rsid w:val="00E86D48"/>
    <w:rsid w:val="00E87FB3"/>
    <w:rsid w:val="00E945AA"/>
    <w:rsid w:val="00E95291"/>
    <w:rsid w:val="00E968E2"/>
    <w:rsid w:val="00E97E59"/>
    <w:rsid w:val="00EA5618"/>
    <w:rsid w:val="00EA7342"/>
    <w:rsid w:val="00EB0469"/>
    <w:rsid w:val="00EB05C4"/>
    <w:rsid w:val="00EB256D"/>
    <w:rsid w:val="00EB372E"/>
    <w:rsid w:val="00EB79F9"/>
    <w:rsid w:val="00EC2844"/>
    <w:rsid w:val="00EC70D8"/>
    <w:rsid w:val="00EC71BD"/>
    <w:rsid w:val="00EC7E34"/>
    <w:rsid w:val="00ED0BF2"/>
    <w:rsid w:val="00ED0C7B"/>
    <w:rsid w:val="00ED509A"/>
    <w:rsid w:val="00ED7054"/>
    <w:rsid w:val="00ED74EC"/>
    <w:rsid w:val="00EE0ABB"/>
    <w:rsid w:val="00EE274B"/>
    <w:rsid w:val="00EE3E30"/>
    <w:rsid w:val="00EE5443"/>
    <w:rsid w:val="00EF105D"/>
    <w:rsid w:val="00EF11C9"/>
    <w:rsid w:val="00EF2005"/>
    <w:rsid w:val="00EF383C"/>
    <w:rsid w:val="00EF3F73"/>
    <w:rsid w:val="00EF603E"/>
    <w:rsid w:val="00EF7674"/>
    <w:rsid w:val="00F005B7"/>
    <w:rsid w:val="00F02CC5"/>
    <w:rsid w:val="00F03562"/>
    <w:rsid w:val="00F05F0C"/>
    <w:rsid w:val="00F103C7"/>
    <w:rsid w:val="00F10559"/>
    <w:rsid w:val="00F12B00"/>
    <w:rsid w:val="00F16DD0"/>
    <w:rsid w:val="00F16E62"/>
    <w:rsid w:val="00F1757C"/>
    <w:rsid w:val="00F17E6E"/>
    <w:rsid w:val="00F20167"/>
    <w:rsid w:val="00F20749"/>
    <w:rsid w:val="00F20DB2"/>
    <w:rsid w:val="00F238C5"/>
    <w:rsid w:val="00F23AAA"/>
    <w:rsid w:val="00F24F68"/>
    <w:rsid w:val="00F27325"/>
    <w:rsid w:val="00F30BE8"/>
    <w:rsid w:val="00F33FB2"/>
    <w:rsid w:val="00F34FD6"/>
    <w:rsid w:val="00F50AC3"/>
    <w:rsid w:val="00F542C6"/>
    <w:rsid w:val="00F57E99"/>
    <w:rsid w:val="00F6167A"/>
    <w:rsid w:val="00F61E0D"/>
    <w:rsid w:val="00F62D1A"/>
    <w:rsid w:val="00F6758B"/>
    <w:rsid w:val="00F700DD"/>
    <w:rsid w:val="00F7034F"/>
    <w:rsid w:val="00F704B7"/>
    <w:rsid w:val="00F70E61"/>
    <w:rsid w:val="00F72B3D"/>
    <w:rsid w:val="00F75A54"/>
    <w:rsid w:val="00F76129"/>
    <w:rsid w:val="00F80539"/>
    <w:rsid w:val="00F82B3B"/>
    <w:rsid w:val="00F83BA7"/>
    <w:rsid w:val="00F84635"/>
    <w:rsid w:val="00F84E74"/>
    <w:rsid w:val="00F852A0"/>
    <w:rsid w:val="00F853B7"/>
    <w:rsid w:val="00F86D64"/>
    <w:rsid w:val="00F90F2A"/>
    <w:rsid w:val="00F92BA4"/>
    <w:rsid w:val="00F937AE"/>
    <w:rsid w:val="00FA026D"/>
    <w:rsid w:val="00FA155F"/>
    <w:rsid w:val="00FA27C3"/>
    <w:rsid w:val="00FA3510"/>
    <w:rsid w:val="00FA3652"/>
    <w:rsid w:val="00FA5924"/>
    <w:rsid w:val="00FA7138"/>
    <w:rsid w:val="00FB358C"/>
    <w:rsid w:val="00FB37E4"/>
    <w:rsid w:val="00FB4997"/>
    <w:rsid w:val="00FB5C0E"/>
    <w:rsid w:val="00FB7A52"/>
    <w:rsid w:val="00FC0753"/>
    <w:rsid w:val="00FC12B9"/>
    <w:rsid w:val="00FC4673"/>
    <w:rsid w:val="00FC7911"/>
    <w:rsid w:val="00FC7AEE"/>
    <w:rsid w:val="00FD219F"/>
    <w:rsid w:val="00FD28AE"/>
    <w:rsid w:val="00FE1E68"/>
    <w:rsid w:val="00FE5289"/>
    <w:rsid w:val="00FE6AAD"/>
    <w:rsid w:val="00FE6EF8"/>
    <w:rsid w:val="00FF21F2"/>
    <w:rsid w:val="00FF2308"/>
    <w:rsid w:val="00FF2369"/>
    <w:rsid w:val="00FF24F9"/>
    <w:rsid w:val="00FF6C1D"/>
    <w:rsid w:val="01970D3F"/>
    <w:rsid w:val="01D40414"/>
    <w:rsid w:val="01EAAD63"/>
    <w:rsid w:val="020CA359"/>
    <w:rsid w:val="02380A39"/>
    <w:rsid w:val="02AFF138"/>
    <w:rsid w:val="02B8B9A2"/>
    <w:rsid w:val="02CE1D7E"/>
    <w:rsid w:val="032F311C"/>
    <w:rsid w:val="033AC93A"/>
    <w:rsid w:val="043ED5C3"/>
    <w:rsid w:val="048F5544"/>
    <w:rsid w:val="05993AC4"/>
    <w:rsid w:val="05B38EF0"/>
    <w:rsid w:val="05F10784"/>
    <w:rsid w:val="06AA1CF8"/>
    <w:rsid w:val="06C9C4D1"/>
    <w:rsid w:val="06F94771"/>
    <w:rsid w:val="078CDD5D"/>
    <w:rsid w:val="07C72A5A"/>
    <w:rsid w:val="0922E5CF"/>
    <w:rsid w:val="0993C352"/>
    <w:rsid w:val="0A13AFD3"/>
    <w:rsid w:val="0A4EECCE"/>
    <w:rsid w:val="0A97C758"/>
    <w:rsid w:val="0AAE87D5"/>
    <w:rsid w:val="0AE0E327"/>
    <w:rsid w:val="0AE0EEF8"/>
    <w:rsid w:val="0B6290CE"/>
    <w:rsid w:val="0C3F4356"/>
    <w:rsid w:val="0C7CB388"/>
    <w:rsid w:val="0CAB290C"/>
    <w:rsid w:val="0CB695C3"/>
    <w:rsid w:val="0CBE61AC"/>
    <w:rsid w:val="0CDA5E80"/>
    <w:rsid w:val="0D1C2634"/>
    <w:rsid w:val="0D4F25AE"/>
    <w:rsid w:val="0DC0AFFE"/>
    <w:rsid w:val="0DFF50F4"/>
    <w:rsid w:val="0E6B8E81"/>
    <w:rsid w:val="0E817E58"/>
    <w:rsid w:val="0E889A32"/>
    <w:rsid w:val="0EED7E7C"/>
    <w:rsid w:val="0F3E30F9"/>
    <w:rsid w:val="0F732515"/>
    <w:rsid w:val="0F79BC46"/>
    <w:rsid w:val="102E74D9"/>
    <w:rsid w:val="10894EDD"/>
    <w:rsid w:val="1094C73D"/>
    <w:rsid w:val="115024AB"/>
    <w:rsid w:val="117AC44D"/>
    <w:rsid w:val="11CE874F"/>
    <w:rsid w:val="11EB2527"/>
    <w:rsid w:val="11F2BDA4"/>
    <w:rsid w:val="1269683B"/>
    <w:rsid w:val="135FB95B"/>
    <w:rsid w:val="1361D434"/>
    <w:rsid w:val="13C0821F"/>
    <w:rsid w:val="14F297B3"/>
    <w:rsid w:val="156C7499"/>
    <w:rsid w:val="162CE810"/>
    <w:rsid w:val="16410721"/>
    <w:rsid w:val="167367E0"/>
    <w:rsid w:val="16945F8D"/>
    <w:rsid w:val="16E0AEAE"/>
    <w:rsid w:val="171259FE"/>
    <w:rsid w:val="17877B28"/>
    <w:rsid w:val="17C4F6DB"/>
    <w:rsid w:val="17D7B316"/>
    <w:rsid w:val="183A399E"/>
    <w:rsid w:val="18504397"/>
    <w:rsid w:val="187EB426"/>
    <w:rsid w:val="188A4925"/>
    <w:rsid w:val="189A0C82"/>
    <w:rsid w:val="18F1B0E1"/>
    <w:rsid w:val="19A21258"/>
    <w:rsid w:val="19B0F1D1"/>
    <w:rsid w:val="1A2A0BCD"/>
    <w:rsid w:val="1A510FA3"/>
    <w:rsid w:val="1A5A349D"/>
    <w:rsid w:val="1A745125"/>
    <w:rsid w:val="1AEEB216"/>
    <w:rsid w:val="1C7B8E39"/>
    <w:rsid w:val="1C952E72"/>
    <w:rsid w:val="1D69BE9B"/>
    <w:rsid w:val="1E420071"/>
    <w:rsid w:val="1F8AC4C4"/>
    <w:rsid w:val="20414326"/>
    <w:rsid w:val="20A50812"/>
    <w:rsid w:val="20D74DF5"/>
    <w:rsid w:val="2114A931"/>
    <w:rsid w:val="21974984"/>
    <w:rsid w:val="21D221E9"/>
    <w:rsid w:val="221656A4"/>
    <w:rsid w:val="2293EDA3"/>
    <w:rsid w:val="22CEB108"/>
    <w:rsid w:val="232BA164"/>
    <w:rsid w:val="23536460"/>
    <w:rsid w:val="23A60959"/>
    <w:rsid w:val="23FC4C3C"/>
    <w:rsid w:val="24782D3F"/>
    <w:rsid w:val="248EC480"/>
    <w:rsid w:val="24A77FFF"/>
    <w:rsid w:val="259884D6"/>
    <w:rsid w:val="260F4BCC"/>
    <w:rsid w:val="26A7D98A"/>
    <w:rsid w:val="26CA352C"/>
    <w:rsid w:val="26DC5585"/>
    <w:rsid w:val="26DEC151"/>
    <w:rsid w:val="26E10F3A"/>
    <w:rsid w:val="27323C23"/>
    <w:rsid w:val="27437930"/>
    <w:rsid w:val="27E2F13B"/>
    <w:rsid w:val="28CE0C84"/>
    <w:rsid w:val="2A91D30F"/>
    <w:rsid w:val="2B3A5303"/>
    <w:rsid w:val="2BCC0D3E"/>
    <w:rsid w:val="2C7D077B"/>
    <w:rsid w:val="2CBCBFE4"/>
    <w:rsid w:val="2CF50DA8"/>
    <w:rsid w:val="2D0456C7"/>
    <w:rsid w:val="2D6CBAD8"/>
    <w:rsid w:val="2DC075A0"/>
    <w:rsid w:val="2F49FB1D"/>
    <w:rsid w:val="2F8132AD"/>
    <w:rsid w:val="2F8DF028"/>
    <w:rsid w:val="310F9175"/>
    <w:rsid w:val="3168B1FC"/>
    <w:rsid w:val="32888064"/>
    <w:rsid w:val="32898965"/>
    <w:rsid w:val="32949734"/>
    <w:rsid w:val="331356CD"/>
    <w:rsid w:val="336C64D0"/>
    <w:rsid w:val="3384A16B"/>
    <w:rsid w:val="345435F8"/>
    <w:rsid w:val="34E8D517"/>
    <w:rsid w:val="358CAF59"/>
    <w:rsid w:val="3598AB3D"/>
    <w:rsid w:val="359DF6A0"/>
    <w:rsid w:val="35A20E1B"/>
    <w:rsid w:val="35A2ECF6"/>
    <w:rsid w:val="35D4E887"/>
    <w:rsid w:val="3652E7EA"/>
    <w:rsid w:val="369690C8"/>
    <w:rsid w:val="36BC4CC5"/>
    <w:rsid w:val="376DD58B"/>
    <w:rsid w:val="37828556"/>
    <w:rsid w:val="37DF3284"/>
    <w:rsid w:val="385243EA"/>
    <w:rsid w:val="385694D1"/>
    <w:rsid w:val="386DC8E1"/>
    <w:rsid w:val="390957D3"/>
    <w:rsid w:val="391E55B7"/>
    <w:rsid w:val="394E6BD9"/>
    <w:rsid w:val="39789A6D"/>
    <w:rsid w:val="39B7F71E"/>
    <w:rsid w:val="39C86BDC"/>
    <w:rsid w:val="3AAFE45F"/>
    <w:rsid w:val="3AEFBC93"/>
    <w:rsid w:val="3B588F4B"/>
    <w:rsid w:val="3BA8E645"/>
    <w:rsid w:val="3C0646E4"/>
    <w:rsid w:val="3C20B743"/>
    <w:rsid w:val="3CF2C006"/>
    <w:rsid w:val="3D4AA4B2"/>
    <w:rsid w:val="3E324F46"/>
    <w:rsid w:val="3E571471"/>
    <w:rsid w:val="3F138FB7"/>
    <w:rsid w:val="3F162C5F"/>
    <w:rsid w:val="3FB3568B"/>
    <w:rsid w:val="3FDEB6E1"/>
    <w:rsid w:val="3FF47E8F"/>
    <w:rsid w:val="3FF7A729"/>
    <w:rsid w:val="403AB97D"/>
    <w:rsid w:val="406D3A80"/>
    <w:rsid w:val="408007E3"/>
    <w:rsid w:val="415CCA5B"/>
    <w:rsid w:val="4228FDC0"/>
    <w:rsid w:val="428BF7CE"/>
    <w:rsid w:val="429BE95B"/>
    <w:rsid w:val="42A9C601"/>
    <w:rsid w:val="42BAF644"/>
    <w:rsid w:val="42F45031"/>
    <w:rsid w:val="4318480E"/>
    <w:rsid w:val="43B8B7C2"/>
    <w:rsid w:val="46D8E93B"/>
    <w:rsid w:val="474470EC"/>
    <w:rsid w:val="47B06925"/>
    <w:rsid w:val="4855ECA8"/>
    <w:rsid w:val="488D442A"/>
    <w:rsid w:val="48ADF8EC"/>
    <w:rsid w:val="48B4F908"/>
    <w:rsid w:val="4996ABBD"/>
    <w:rsid w:val="4A322424"/>
    <w:rsid w:val="4A3D7FA3"/>
    <w:rsid w:val="4AD2272B"/>
    <w:rsid w:val="4B28093A"/>
    <w:rsid w:val="4B74EA3C"/>
    <w:rsid w:val="4BA8F8BB"/>
    <w:rsid w:val="4C0F6D77"/>
    <w:rsid w:val="4C15485F"/>
    <w:rsid w:val="4CCE3CE8"/>
    <w:rsid w:val="4D8C754D"/>
    <w:rsid w:val="4DDDE105"/>
    <w:rsid w:val="4EB54787"/>
    <w:rsid w:val="4F704508"/>
    <w:rsid w:val="4FB81272"/>
    <w:rsid w:val="4FFFD97D"/>
    <w:rsid w:val="5005ED41"/>
    <w:rsid w:val="50170AFD"/>
    <w:rsid w:val="507952D5"/>
    <w:rsid w:val="512DDFEE"/>
    <w:rsid w:val="513749B2"/>
    <w:rsid w:val="5140A1D0"/>
    <w:rsid w:val="51E1999D"/>
    <w:rsid w:val="52289E25"/>
    <w:rsid w:val="5252AD52"/>
    <w:rsid w:val="53A909E6"/>
    <w:rsid w:val="53D773A2"/>
    <w:rsid w:val="54056AD8"/>
    <w:rsid w:val="550EA6F6"/>
    <w:rsid w:val="557B5874"/>
    <w:rsid w:val="55942C73"/>
    <w:rsid w:val="55F23BEB"/>
    <w:rsid w:val="56046C6C"/>
    <w:rsid w:val="5786F1E2"/>
    <w:rsid w:val="57D8B64C"/>
    <w:rsid w:val="5814413A"/>
    <w:rsid w:val="582014B3"/>
    <w:rsid w:val="5829AAB2"/>
    <w:rsid w:val="584D8D07"/>
    <w:rsid w:val="588C5240"/>
    <w:rsid w:val="590E423B"/>
    <w:rsid w:val="5925751C"/>
    <w:rsid w:val="59B759AB"/>
    <w:rsid w:val="59BBEFAC"/>
    <w:rsid w:val="5AD532D5"/>
    <w:rsid w:val="5AF00913"/>
    <w:rsid w:val="5AFACFB1"/>
    <w:rsid w:val="5B18B7A6"/>
    <w:rsid w:val="5B95FFC3"/>
    <w:rsid w:val="5C4B8300"/>
    <w:rsid w:val="5C6B02D0"/>
    <w:rsid w:val="5D1DB45F"/>
    <w:rsid w:val="5DA04D6D"/>
    <w:rsid w:val="5E0291DE"/>
    <w:rsid w:val="5F263366"/>
    <w:rsid w:val="5FBADD22"/>
    <w:rsid w:val="603AF381"/>
    <w:rsid w:val="615A6C46"/>
    <w:rsid w:val="616AF142"/>
    <w:rsid w:val="61E08A8F"/>
    <w:rsid w:val="62333486"/>
    <w:rsid w:val="6382834E"/>
    <w:rsid w:val="6404B378"/>
    <w:rsid w:val="640AC89B"/>
    <w:rsid w:val="64BF9EE8"/>
    <w:rsid w:val="64D76C17"/>
    <w:rsid w:val="651FB890"/>
    <w:rsid w:val="6529D278"/>
    <w:rsid w:val="6588E7E5"/>
    <w:rsid w:val="658D0ECA"/>
    <w:rsid w:val="66BB88F1"/>
    <w:rsid w:val="673F1F10"/>
    <w:rsid w:val="686B6AA7"/>
    <w:rsid w:val="6932588F"/>
    <w:rsid w:val="6971228B"/>
    <w:rsid w:val="698FCCE7"/>
    <w:rsid w:val="69D9447F"/>
    <w:rsid w:val="6A2CF64E"/>
    <w:rsid w:val="6AF1EC17"/>
    <w:rsid w:val="6B1693B2"/>
    <w:rsid w:val="6B53A466"/>
    <w:rsid w:val="6B616E5D"/>
    <w:rsid w:val="6BBD2DEB"/>
    <w:rsid w:val="6C688BD2"/>
    <w:rsid w:val="6C9735D9"/>
    <w:rsid w:val="6CBC82F8"/>
    <w:rsid w:val="6D1F9DA7"/>
    <w:rsid w:val="6D3043D7"/>
    <w:rsid w:val="6F45D288"/>
    <w:rsid w:val="6FF423BA"/>
    <w:rsid w:val="70306520"/>
    <w:rsid w:val="709C99FF"/>
    <w:rsid w:val="70CB327B"/>
    <w:rsid w:val="70F77306"/>
    <w:rsid w:val="7111E562"/>
    <w:rsid w:val="719F028D"/>
    <w:rsid w:val="7209BC6A"/>
    <w:rsid w:val="7217F584"/>
    <w:rsid w:val="7367B04D"/>
    <w:rsid w:val="73E9DDB1"/>
    <w:rsid w:val="74003C24"/>
    <w:rsid w:val="74400ECB"/>
    <w:rsid w:val="7454DA53"/>
    <w:rsid w:val="749335EF"/>
    <w:rsid w:val="753D1B6D"/>
    <w:rsid w:val="75C980A9"/>
    <w:rsid w:val="7629FAE2"/>
    <w:rsid w:val="76BD72BC"/>
    <w:rsid w:val="77027C8B"/>
    <w:rsid w:val="7757BFE0"/>
    <w:rsid w:val="7812E386"/>
    <w:rsid w:val="7861BB64"/>
    <w:rsid w:val="78D38C71"/>
    <w:rsid w:val="79501EF4"/>
    <w:rsid w:val="79BFF22C"/>
    <w:rsid w:val="79E4C24C"/>
    <w:rsid w:val="7A046A25"/>
    <w:rsid w:val="7A86F75D"/>
    <w:rsid w:val="7AE793F0"/>
    <w:rsid w:val="7B9D61D4"/>
    <w:rsid w:val="7C74616D"/>
    <w:rsid w:val="7D6F2B34"/>
    <w:rsid w:val="7D7E5630"/>
    <w:rsid w:val="7E9FE94E"/>
    <w:rsid w:val="7EA9A922"/>
    <w:rsid w:val="7F7D1004"/>
    <w:rsid w:val="7F7F4E86"/>
    <w:rsid w:val="7F95ACF5"/>
    <w:rsid w:val="7F97047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8BD90"/>
  <w15:docId w15:val="{C852AA32-6EB9-414A-86DA-64D26285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C2E"/>
    <w:pPr>
      <w:spacing w:after="160" w:line="264" w:lineRule="auto"/>
    </w:pPr>
    <w:rPr>
      <w:rFonts w:ascii="Arial Narrow" w:hAnsi="Arial Narrow"/>
      <w:sz w:val="24"/>
    </w:rPr>
  </w:style>
  <w:style w:type="paragraph" w:styleId="Heading1">
    <w:name w:val="heading 1"/>
    <w:basedOn w:val="Normal"/>
    <w:next w:val="Normal"/>
    <w:link w:val="Heading1Char"/>
    <w:uiPriority w:val="9"/>
    <w:qFormat/>
    <w:rsid w:val="00D3287A"/>
    <w:pPr>
      <w:keepNext/>
      <w:keepLines/>
      <w:numPr>
        <w:numId w:val="1"/>
      </w:numPr>
      <w:spacing w:line="360" w:lineRule="auto"/>
      <w:ind w:left="357" w:hanging="357"/>
      <w:outlineLvl w:val="0"/>
    </w:pPr>
    <w:rPr>
      <w:rFonts w:eastAsiaTheme="majorEastAsia" w:cstheme="majorBidi"/>
      <w:b/>
      <w:bCs/>
      <w:color w:val="006600"/>
      <w:sz w:val="28"/>
      <w:szCs w:val="28"/>
      <w14:numForm w14:val="oldStyle"/>
    </w:rPr>
  </w:style>
  <w:style w:type="paragraph" w:styleId="Heading2">
    <w:name w:val="heading 2"/>
    <w:basedOn w:val="Normal"/>
    <w:next w:val="Normal"/>
    <w:link w:val="Heading2Char"/>
    <w:uiPriority w:val="9"/>
    <w:unhideWhenUsed/>
    <w:qFormat/>
    <w:rsid w:val="00E01DFC"/>
    <w:pPr>
      <w:keepNext/>
      <w:keepLines/>
      <w:numPr>
        <w:ilvl w:val="1"/>
        <w:numId w:val="10"/>
      </w:numPr>
      <w:spacing w:line="240" w:lineRule="auto"/>
      <w:outlineLvl w:val="1"/>
    </w:pPr>
    <w:rPr>
      <w:rFonts w:eastAsiaTheme="majorEastAsia" w:cstheme="majorBidi"/>
      <w:b/>
      <w:bCs/>
      <w:color w:val="C98711"/>
      <w:sz w:val="26"/>
      <w:szCs w:val="26"/>
    </w:rPr>
  </w:style>
  <w:style w:type="paragraph" w:styleId="Heading3">
    <w:name w:val="heading 3"/>
    <w:basedOn w:val="Normal"/>
    <w:next w:val="Normal"/>
    <w:link w:val="Heading3Char"/>
    <w:uiPriority w:val="9"/>
    <w:unhideWhenUsed/>
    <w:qFormat/>
    <w:rsid w:val="006357D7"/>
    <w:pPr>
      <w:jc w:val="both"/>
      <w:outlineLvl w:val="2"/>
    </w:pPr>
    <w:rPr>
      <w:b/>
      <w:color w:val="006600"/>
      <w:szCs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87A"/>
    <w:rPr>
      <w:rFonts w:ascii="Arial Narrow" w:eastAsiaTheme="majorEastAsia" w:hAnsi="Arial Narrow" w:cstheme="majorBidi"/>
      <w:b/>
      <w:bCs/>
      <w:color w:val="006600"/>
      <w:sz w:val="28"/>
      <w:szCs w:val="28"/>
      <w14:numForm w14:val="oldStyle"/>
    </w:rPr>
  </w:style>
  <w:style w:type="character" w:customStyle="1" w:styleId="Heading2Char">
    <w:name w:val="Heading 2 Char"/>
    <w:basedOn w:val="DefaultParagraphFont"/>
    <w:link w:val="Heading2"/>
    <w:uiPriority w:val="9"/>
    <w:rsid w:val="00E01DFC"/>
    <w:rPr>
      <w:rFonts w:ascii="Arial Narrow" w:eastAsiaTheme="majorEastAsia" w:hAnsi="Arial Narrow" w:cstheme="majorBidi"/>
      <w:b/>
      <w:bCs/>
      <w:color w:val="C98711"/>
      <w:sz w:val="26"/>
      <w:szCs w:val="26"/>
    </w:rPr>
  </w:style>
  <w:style w:type="character" w:customStyle="1" w:styleId="Heading3Char">
    <w:name w:val="Heading 3 Char"/>
    <w:basedOn w:val="DefaultParagraphFont"/>
    <w:link w:val="Heading3"/>
    <w:uiPriority w:val="9"/>
    <w:rsid w:val="006357D7"/>
    <w:rPr>
      <w:rFonts w:ascii="Arial Narrow" w:hAnsi="Arial Narrow"/>
      <w:b/>
      <w:color w:val="006600"/>
      <w:sz w:val="24"/>
      <w:szCs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C4635"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675E47"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675E47"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A9A57C"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53A"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53A"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unhideWhenUsed/>
    <w:qFormat/>
    <w:pPr>
      <w:spacing w:line="240" w:lineRule="auto"/>
    </w:pPr>
    <w:rPr>
      <w:rFonts w:eastAsiaTheme="minorEastAsia"/>
      <w:b/>
      <w:bCs/>
      <w:smallCaps/>
      <w:color w:val="675E47"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675E47"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C4635"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A9A57C" w:themeColor="accent1"/>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A9A57C"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A9A57C"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A9A57C"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TOC2"/>
    <w:next w:val="Normal"/>
    <w:uiPriority w:val="39"/>
    <w:unhideWhenUsed/>
    <w:qFormat/>
    <w:rsid w:val="006A15EB"/>
    <w:rPr>
      <w:noProof/>
      <w:sz w:val="24"/>
      <w:szCs w:val="24"/>
    </w:rPr>
  </w:style>
  <w:style w:type="paragraph" w:customStyle="1" w:styleId="PersonalName">
    <w:name w:val="Personal Name"/>
    <w:basedOn w:val="Title"/>
    <w:qFormat/>
    <w:rsid w:val="007669A8"/>
    <w:rPr>
      <w:b/>
      <w:color w:val="A77209"/>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9C6812"/>
    <w:pPr>
      <w:tabs>
        <w:tab w:val="left" w:pos="440"/>
        <w:tab w:val="right" w:leader="dot" w:pos="8273"/>
      </w:tabs>
      <w:spacing w:after="100"/>
      <w:jc w:val="both"/>
    </w:pPr>
    <w:rPr>
      <w:b/>
      <w:noProof/>
      <w:sz w:val="22"/>
    </w:rPr>
  </w:style>
  <w:style w:type="character" w:styleId="Hyperlink">
    <w:name w:val="Hyperlink"/>
    <w:basedOn w:val="DefaultParagraphFont"/>
    <w:uiPriority w:val="99"/>
    <w:unhideWhenUsed/>
    <w:rsid w:val="00380916"/>
    <w:rPr>
      <w:color w:val="D25814" w:themeColor="hyperlink"/>
      <w:u w:val="single"/>
    </w:rPr>
  </w:style>
  <w:style w:type="character" w:styleId="CommentReference">
    <w:name w:val="annotation reference"/>
    <w:basedOn w:val="DefaultParagraphFont"/>
    <w:uiPriority w:val="99"/>
    <w:semiHidden/>
    <w:unhideWhenUsed/>
    <w:rsid w:val="003D5FF7"/>
    <w:rPr>
      <w:sz w:val="16"/>
      <w:szCs w:val="16"/>
    </w:rPr>
  </w:style>
  <w:style w:type="paragraph" w:styleId="CommentText">
    <w:name w:val="annotation text"/>
    <w:basedOn w:val="Normal"/>
    <w:link w:val="CommentTextChar"/>
    <w:uiPriority w:val="99"/>
    <w:unhideWhenUsed/>
    <w:rsid w:val="003D5FF7"/>
    <w:pPr>
      <w:spacing w:line="240" w:lineRule="auto"/>
    </w:pPr>
    <w:rPr>
      <w:sz w:val="20"/>
      <w:szCs w:val="20"/>
    </w:rPr>
  </w:style>
  <w:style w:type="character" w:customStyle="1" w:styleId="CommentTextChar">
    <w:name w:val="Comment Text Char"/>
    <w:basedOn w:val="DefaultParagraphFont"/>
    <w:link w:val="CommentText"/>
    <w:uiPriority w:val="99"/>
    <w:rsid w:val="003D5FF7"/>
    <w:rPr>
      <w:sz w:val="20"/>
      <w:szCs w:val="20"/>
    </w:rPr>
  </w:style>
  <w:style w:type="paragraph" w:styleId="CommentSubject">
    <w:name w:val="annotation subject"/>
    <w:basedOn w:val="CommentText"/>
    <w:next w:val="CommentText"/>
    <w:link w:val="CommentSubjectChar"/>
    <w:uiPriority w:val="99"/>
    <w:semiHidden/>
    <w:unhideWhenUsed/>
    <w:rsid w:val="003D5FF7"/>
    <w:rPr>
      <w:b/>
      <w:bCs/>
    </w:rPr>
  </w:style>
  <w:style w:type="character" w:customStyle="1" w:styleId="CommentSubjectChar">
    <w:name w:val="Comment Subject Char"/>
    <w:basedOn w:val="CommentTextChar"/>
    <w:link w:val="CommentSubject"/>
    <w:uiPriority w:val="99"/>
    <w:semiHidden/>
    <w:rsid w:val="003D5FF7"/>
    <w:rPr>
      <w:b/>
      <w:bCs/>
      <w:sz w:val="20"/>
      <w:szCs w:val="20"/>
    </w:rPr>
  </w:style>
  <w:style w:type="numbering" w:customStyle="1" w:styleId="Style1">
    <w:name w:val="Style1"/>
    <w:uiPriority w:val="99"/>
    <w:rsid w:val="00743033"/>
    <w:pPr>
      <w:numPr>
        <w:numId w:val="2"/>
      </w:numPr>
    </w:pPr>
  </w:style>
  <w:style w:type="numbering" w:customStyle="1" w:styleId="Style2">
    <w:name w:val="Style2"/>
    <w:uiPriority w:val="99"/>
    <w:rsid w:val="00CD7C61"/>
    <w:pPr>
      <w:numPr>
        <w:numId w:val="3"/>
      </w:numPr>
    </w:pPr>
  </w:style>
  <w:style w:type="numbering" w:customStyle="1" w:styleId="Style3">
    <w:name w:val="Style3"/>
    <w:uiPriority w:val="99"/>
    <w:rsid w:val="00B210C1"/>
    <w:pPr>
      <w:numPr>
        <w:numId w:val="4"/>
      </w:numPr>
    </w:pPr>
  </w:style>
  <w:style w:type="numbering" w:customStyle="1" w:styleId="Style4">
    <w:name w:val="Style4"/>
    <w:uiPriority w:val="99"/>
    <w:rsid w:val="00B210C1"/>
    <w:pPr>
      <w:numPr>
        <w:numId w:val="5"/>
      </w:numPr>
    </w:pPr>
  </w:style>
  <w:style w:type="paragraph" w:styleId="TOC2">
    <w:name w:val="toc 2"/>
    <w:basedOn w:val="Normal"/>
    <w:next w:val="Normal"/>
    <w:autoRedefine/>
    <w:uiPriority w:val="39"/>
    <w:unhideWhenUsed/>
    <w:rsid w:val="002A3D8F"/>
    <w:pPr>
      <w:tabs>
        <w:tab w:val="left" w:pos="880"/>
        <w:tab w:val="right" w:leader="dot" w:pos="8273"/>
      </w:tabs>
      <w:spacing w:after="100" w:line="259" w:lineRule="auto"/>
      <w:ind w:left="220"/>
      <w:jc w:val="both"/>
    </w:pPr>
    <w:rPr>
      <w:rFonts w:eastAsiaTheme="minorEastAsia" w:cs="Times New Roman"/>
      <w:sz w:val="22"/>
      <w:lang w:eastAsia="en-US"/>
    </w:rPr>
  </w:style>
  <w:style w:type="paragraph" w:styleId="TOC3">
    <w:name w:val="toc 3"/>
    <w:basedOn w:val="Normal"/>
    <w:next w:val="Normal"/>
    <w:autoRedefine/>
    <w:uiPriority w:val="39"/>
    <w:unhideWhenUsed/>
    <w:rsid w:val="002B5581"/>
    <w:pPr>
      <w:spacing w:after="100" w:line="259" w:lineRule="auto"/>
      <w:ind w:left="440"/>
    </w:pPr>
    <w:rPr>
      <w:rFonts w:eastAsiaTheme="minorEastAsia" w:cs="Times New Roman"/>
      <w:sz w:val="22"/>
      <w:lang w:eastAsia="en-US"/>
    </w:rPr>
  </w:style>
  <w:style w:type="table" w:styleId="TableGrid">
    <w:name w:val="Table Grid"/>
    <w:basedOn w:val="TableNormal"/>
    <w:uiPriority w:val="59"/>
    <w:rsid w:val="00D15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01DF"/>
    <w:rPr>
      <w:color w:val="849A0A" w:themeColor="followedHyperlink"/>
      <w:u w:val="single"/>
    </w:rPr>
  </w:style>
  <w:style w:type="paragraph" w:styleId="Revision">
    <w:name w:val="Revision"/>
    <w:hidden/>
    <w:uiPriority w:val="99"/>
    <w:semiHidden/>
    <w:rsid w:val="004111F3"/>
    <w:pPr>
      <w:spacing w:after="0" w:line="240" w:lineRule="auto"/>
    </w:pPr>
    <w:rPr>
      <w:rFonts w:ascii="Arial Narrow" w:hAnsi="Arial Narrow"/>
      <w:sz w:val="24"/>
    </w:rPr>
  </w:style>
  <w:style w:type="table" w:customStyle="1" w:styleId="TableGrid1">
    <w:name w:val="Table Grid1"/>
    <w:basedOn w:val="TableNormal"/>
    <w:next w:val="TableGrid"/>
    <w:uiPriority w:val="59"/>
    <w:rsid w:val="00435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240033">
      <w:bodyDiv w:val="1"/>
      <w:marLeft w:val="0"/>
      <w:marRight w:val="0"/>
      <w:marTop w:val="0"/>
      <w:marBottom w:val="0"/>
      <w:divBdr>
        <w:top w:val="none" w:sz="0" w:space="0" w:color="auto"/>
        <w:left w:val="none" w:sz="0" w:space="0" w:color="auto"/>
        <w:bottom w:val="none" w:sz="0" w:space="0" w:color="auto"/>
        <w:right w:val="none" w:sz="0" w:space="0" w:color="auto"/>
      </w:divBdr>
    </w:div>
    <w:div w:id="809712550">
      <w:bodyDiv w:val="1"/>
      <w:marLeft w:val="0"/>
      <w:marRight w:val="0"/>
      <w:marTop w:val="0"/>
      <w:marBottom w:val="0"/>
      <w:divBdr>
        <w:top w:val="none" w:sz="0" w:space="0" w:color="auto"/>
        <w:left w:val="none" w:sz="0" w:space="0" w:color="auto"/>
        <w:bottom w:val="none" w:sz="0" w:space="0" w:color="auto"/>
        <w:right w:val="none" w:sz="0" w:space="0" w:color="auto"/>
      </w:divBdr>
    </w:div>
    <w:div w:id="849179794">
      <w:bodyDiv w:val="1"/>
      <w:marLeft w:val="0"/>
      <w:marRight w:val="0"/>
      <w:marTop w:val="0"/>
      <w:marBottom w:val="0"/>
      <w:divBdr>
        <w:top w:val="none" w:sz="0" w:space="0" w:color="auto"/>
        <w:left w:val="none" w:sz="0" w:space="0" w:color="auto"/>
        <w:bottom w:val="none" w:sz="0" w:space="0" w:color="auto"/>
        <w:right w:val="none" w:sz="0" w:space="0" w:color="auto"/>
      </w:divBdr>
      <w:divsChild>
        <w:div w:id="1247151237">
          <w:marLeft w:val="0"/>
          <w:marRight w:val="0"/>
          <w:marTop w:val="0"/>
          <w:marBottom w:val="0"/>
          <w:divBdr>
            <w:top w:val="none" w:sz="0" w:space="0" w:color="auto"/>
            <w:left w:val="none" w:sz="0" w:space="0" w:color="auto"/>
            <w:bottom w:val="none" w:sz="0" w:space="0" w:color="auto"/>
            <w:right w:val="none" w:sz="0" w:space="0" w:color="auto"/>
          </w:divBdr>
        </w:div>
        <w:div w:id="1948804293">
          <w:marLeft w:val="0"/>
          <w:marRight w:val="0"/>
          <w:marTop w:val="0"/>
          <w:marBottom w:val="0"/>
          <w:divBdr>
            <w:top w:val="none" w:sz="0" w:space="0" w:color="auto"/>
            <w:left w:val="none" w:sz="0" w:space="0" w:color="auto"/>
            <w:bottom w:val="none" w:sz="0" w:space="0" w:color="auto"/>
            <w:right w:val="none" w:sz="0" w:space="0" w:color="auto"/>
          </w:divBdr>
        </w:div>
        <w:div w:id="289556830">
          <w:marLeft w:val="0"/>
          <w:marRight w:val="0"/>
          <w:marTop w:val="0"/>
          <w:marBottom w:val="0"/>
          <w:divBdr>
            <w:top w:val="none" w:sz="0" w:space="0" w:color="auto"/>
            <w:left w:val="none" w:sz="0" w:space="0" w:color="auto"/>
            <w:bottom w:val="none" w:sz="0" w:space="0" w:color="auto"/>
            <w:right w:val="none" w:sz="0" w:space="0" w:color="auto"/>
          </w:divBdr>
        </w:div>
        <w:div w:id="777455209">
          <w:marLeft w:val="0"/>
          <w:marRight w:val="0"/>
          <w:marTop w:val="0"/>
          <w:marBottom w:val="0"/>
          <w:divBdr>
            <w:top w:val="none" w:sz="0" w:space="0" w:color="auto"/>
            <w:left w:val="none" w:sz="0" w:space="0" w:color="auto"/>
            <w:bottom w:val="none" w:sz="0" w:space="0" w:color="auto"/>
            <w:right w:val="none" w:sz="0" w:space="0" w:color="auto"/>
          </w:divBdr>
        </w:div>
        <w:div w:id="1975211068">
          <w:marLeft w:val="0"/>
          <w:marRight w:val="0"/>
          <w:marTop w:val="0"/>
          <w:marBottom w:val="0"/>
          <w:divBdr>
            <w:top w:val="none" w:sz="0" w:space="0" w:color="auto"/>
            <w:left w:val="none" w:sz="0" w:space="0" w:color="auto"/>
            <w:bottom w:val="none" w:sz="0" w:space="0" w:color="auto"/>
            <w:right w:val="none" w:sz="0" w:space="0" w:color="auto"/>
          </w:divBdr>
        </w:div>
      </w:divsChild>
    </w:div>
    <w:div w:id="1294603498">
      <w:bodyDiv w:val="1"/>
      <w:marLeft w:val="0"/>
      <w:marRight w:val="0"/>
      <w:marTop w:val="0"/>
      <w:marBottom w:val="0"/>
      <w:divBdr>
        <w:top w:val="none" w:sz="0" w:space="0" w:color="auto"/>
        <w:left w:val="none" w:sz="0" w:space="0" w:color="auto"/>
        <w:bottom w:val="none" w:sz="0" w:space="0" w:color="auto"/>
        <w:right w:val="none" w:sz="0" w:space="0" w:color="auto"/>
      </w:divBdr>
    </w:div>
    <w:div w:id="133210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hyperlink" Target="https://ghgreporting-public.environment.gov.za/pub/login" TargetMode="External"/><Relationship Id="rId26" Type="http://schemas.openxmlformats.org/officeDocument/2006/relationships/hyperlink" Target="https://www.environment.gov.za/sites/default/files/legislations/nemaqa39of2004_nationalgreenhousegasemissionreporting_gn40762_0.pdf" TargetMode="External"/><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jpeg"/><Relationship Id="rId55" Type="http://schemas.openxmlformats.org/officeDocument/2006/relationships/hyperlink" Target="https://www.gov.za/documents/national-environmental-management-air-quality-act-regulations-national-greenhouse-gas-3" TargetMode="External"/><Relationship Id="rId63" Type="http://schemas.openxmlformats.org/officeDocument/2006/relationships/image" Target="media/image37.JP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ghgreporting@dffe.gov.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ghgreporting-public.environment.gov.za/GHGLanding/SAGERSHome.html"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hyperlink" Target="mailto:GHGReporting@dffe.gov.za" TargetMode="External"/><Relationship Id="rId66"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hyperlink" Target="https://ghgreporting-public.environment.gov.za/GHGLanding/SAGERSHome.html%20" TargetMode="External"/><Relationship Id="rId23" Type="http://schemas.openxmlformats.org/officeDocument/2006/relationships/image" Target="media/image8.png"/><Relationship Id="rId28" Type="http://schemas.openxmlformats.org/officeDocument/2006/relationships/hyperlink" Target="mailto:ghgreporting@environment.gov.za" TargetMode="External"/><Relationship Id="rId36" Type="http://schemas.openxmlformats.org/officeDocument/2006/relationships/image" Target="media/image15.JPG"/><Relationship Id="rId49" Type="http://schemas.openxmlformats.org/officeDocument/2006/relationships/image" Target="media/image27.jpeg"/><Relationship Id="rId57" Type="http://schemas.openxmlformats.org/officeDocument/2006/relationships/hyperlink" Target="https://www.ipcc-nggip.iges.or.jp/public/2006gl/" TargetMode="External"/><Relationship Id="rId61" Type="http://schemas.openxmlformats.org/officeDocument/2006/relationships/image" Target="media/image35.JPG"/><Relationship Id="rId10" Type="http://schemas.openxmlformats.org/officeDocument/2006/relationships/endnotes" Target="endnotes.xml"/><Relationship Id="rId19" Type="http://schemas.openxmlformats.org/officeDocument/2006/relationships/hyperlink" Target="https://ghgreporting-public.environment.gov.za/GHGLanding/SAGERSHome.html"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0.jpe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7.png"/><Relationship Id="rId22" Type="http://schemas.openxmlformats.org/officeDocument/2006/relationships/image" Target="media/image7.png"/><Relationship Id="rId27" Type="http://schemas.openxmlformats.org/officeDocument/2006/relationships/hyperlink" Target="https://www.environment.gov.za/sites/default/files/legislations/technicalguidelinesformrvofemissionsbyindustry_0.pdf" TargetMode="External"/><Relationship Id="rId30" Type="http://schemas.openxmlformats.org/officeDocument/2006/relationships/hyperlink" Target="https://ghgreporting-public.environment.gov.za/GHGLanding/Docs/Standby%20generators.xlsx" TargetMode="External"/><Relationship Id="rId35" Type="http://schemas.openxmlformats.org/officeDocument/2006/relationships/image" Target="media/image14.JPG"/><Relationship Id="rId43" Type="http://schemas.openxmlformats.org/officeDocument/2006/relationships/image" Target="media/image22.png"/><Relationship Id="rId48" Type="http://schemas.openxmlformats.org/officeDocument/2006/relationships/hyperlink" Target="https://ghgreportingpublic.environment.gov.za/GHGlanding/Docs/Standby%20generators.xlsx" TargetMode="External"/><Relationship Id="rId56" Type="http://schemas.openxmlformats.org/officeDocument/2006/relationships/hyperlink" Target="https://www.ipcc-nggip.iges.or.jp/public/2006gl/" TargetMode="External"/><Relationship Id="rId64" Type="http://schemas.openxmlformats.org/officeDocument/2006/relationships/image" Target="media/image38.jp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6.JPG"/><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ccca3cb-59de-44d7-95e6-23fc32d35558">
      <UserInfo>
        <DisplayName>Sindisiwe Mashele</DisplayName>
        <AccountId>10</AccountId>
        <AccountType/>
      </UserInfo>
      <UserInfo>
        <DisplayName>Mapula Tshangela</DisplayName>
        <AccountId>62</AccountId>
        <AccountType/>
      </UserInfo>
      <UserInfo>
        <DisplayName>Farryn Moodley</DisplayName>
        <AccountId>12</AccountId>
        <AccountType/>
      </UserInfo>
      <UserInfo>
        <DisplayName>Rumbidzai Zireva</DisplayName>
        <AccountId>51</AccountId>
        <AccountType/>
      </UserInfo>
      <UserInfo>
        <DisplayName>Lindelwa Mngomezulu</DisplayName>
        <AccountId>20</AccountId>
        <AccountType/>
      </UserInfo>
      <UserInfo>
        <DisplayName>Hendrik Louw</DisplayName>
        <AccountId>52</AccountId>
        <AccountType/>
      </UserInfo>
      <UserInfo>
        <DisplayName>Canecia Thobela</DisplayName>
        <AccountId>60</AccountId>
        <AccountType/>
      </UserInfo>
      <UserInfo>
        <DisplayName>Tshiamo Mosuwe</DisplayName>
        <AccountId>99</AccountId>
        <AccountType/>
      </UserInfo>
      <UserInfo>
        <DisplayName>Tshamaano Khalushi</DisplayName>
        <AccountId>84</AccountId>
        <AccountType/>
      </UserInfo>
      <UserInfo>
        <DisplayName>Thulasizwe Masuku</DisplayName>
        <AccountId>19</AccountId>
        <AccountType/>
      </UserInfo>
    </SharedWithUsers>
    <lcf76f155ced4ddcb4097134ff3c332f xmlns="c8b566ea-7b4f-4161-9852-846b97d13b00">
      <Terms xmlns="http://schemas.microsoft.com/office/infopath/2007/PartnerControls"/>
    </lcf76f155ced4ddcb4097134ff3c332f>
    <TaxCatchAll xmlns="7ccca3cb-59de-44d7-95e6-23fc32d3555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5D5D0E217BED46ACCFE631709B305B" ma:contentTypeVersion="15" ma:contentTypeDescription="Create a new document." ma:contentTypeScope="" ma:versionID="2ae56fe7513489cabc8355e5d1456190">
  <xsd:schema xmlns:xsd="http://www.w3.org/2001/XMLSchema" xmlns:xs="http://www.w3.org/2001/XMLSchema" xmlns:p="http://schemas.microsoft.com/office/2006/metadata/properties" xmlns:ns2="7ccca3cb-59de-44d7-95e6-23fc32d35558" xmlns:ns3="c8b566ea-7b4f-4161-9852-846b97d13b00" targetNamespace="http://schemas.microsoft.com/office/2006/metadata/properties" ma:root="true" ma:fieldsID="7590b2af93f6105849b7c233274663b1" ns2:_="" ns3:_="">
    <xsd:import namespace="7ccca3cb-59de-44d7-95e6-23fc32d35558"/>
    <xsd:import namespace="c8b566ea-7b4f-4161-9852-846b97d13b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ca3cb-59de-44d7-95e6-23fc32d355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6b55eb-cba8-4bdf-a2fa-d9a7d3c36fea}" ma:internalName="TaxCatchAll" ma:showField="CatchAllData" ma:web="7ccca3cb-59de-44d7-95e6-23fc32d355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b566ea-7b4f-4161-9852-846b97d13b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0a1695-5c99-4bd0-8afd-a738e8db2b6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266D6AF-68A4-48D8-A615-349FD8D8A781}">
  <ds:schemaRefs>
    <ds:schemaRef ds:uri="http://schemas.microsoft.com/office/2006/metadata/properties"/>
    <ds:schemaRef ds:uri="http://schemas.microsoft.com/office/infopath/2007/PartnerControls"/>
    <ds:schemaRef ds:uri="7ccca3cb-59de-44d7-95e6-23fc32d35558"/>
  </ds:schemaRefs>
</ds:datastoreItem>
</file>

<file path=customXml/itemProps2.xml><?xml version="1.0" encoding="utf-8"?>
<ds:datastoreItem xmlns:ds="http://schemas.openxmlformats.org/officeDocument/2006/customXml" ds:itemID="{1B58839A-FE86-440E-8DEB-508415D7EB6A}"/>
</file>

<file path=customXml/itemProps3.xml><?xml version="1.0" encoding="utf-8"?>
<ds:datastoreItem xmlns:ds="http://schemas.openxmlformats.org/officeDocument/2006/customXml" ds:itemID="{EE6F7CF4-59F2-4F1E-8570-414F25CD5C6B}">
  <ds:schemaRefs>
    <ds:schemaRef ds:uri="http://schemas.microsoft.com/sharepoint/v3/contenttype/forms"/>
  </ds:schemaRefs>
</ds:datastoreItem>
</file>

<file path=customXml/itemProps4.xml><?xml version="1.0" encoding="utf-8"?>
<ds:datastoreItem xmlns:ds="http://schemas.openxmlformats.org/officeDocument/2006/customXml" ds:itemID="{CEA0F640-E404-476F-87F3-FC434BD2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144</TotalTime>
  <Pages>48</Pages>
  <Words>9490</Words>
  <Characters>54094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Mamahloko Senatla Jaane</dc:creator>
  <cp:keywords/>
  <dc:description/>
  <cp:lastModifiedBy>Sewela Malaka</cp:lastModifiedBy>
  <cp:revision>75</cp:revision>
  <cp:lastPrinted>2020-12-02T03:46:00Z</cp:lastPrinted>
  <dcterms:created xsi:type="dcterms:W3CDTF">2022-03-17T19:21:00Z</dcterms:created>
  <dcterms:modified xsi:type="dcterms:W3CDTF">2022-07-27T09:32:00Z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0x010100935D5D0E217BED46ACCFE631709B305B</vt:lpwstr>
  </property>
</Properties>
</file>